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5FE" w:rsidRPr="003807BF" w:rsidRDefault="00D645FE" w:rsidP="00AE6065">
      <w:pPr>
        <w:autoSpaceDE w:val="0"/>
        <w:autoSpaceDN w:val="0"/>
        <w:adjustRightInd w:val="0"/>
        <w:rPr>
          <w:b/>
          <w:iCs/>
          <w:lang w:val="lv-LV"/>
        </w:rPr>
      </w:pPr>
    </w:p>
    <w:p w:rsidR="00FD5AE5" w:rsidRPr="00F22B2F" w:rsidRDefault="00FD5AE5" w:rsidP="004246E5">
      <w:pPr>
        <w:autoSpaceDE w:val="0"/>
        <w:autoSpaceDN w:val="0"/>
        <w:adjustRightInd w:val="0"/>
        <w:jc w:val="center"/>
        <w:rPr>
          <w:b/>
          <w:iCs/>
          <w:lang w:val="lv-LV"/>
        </w:rPr>
      </w:pPr>
      <w:r w:rsidRPr="00F22B2F">
        <w:rPr>
          <w:b/>
          <w:iCs/>
          <w:lang w:val="lv-LV"/>
        </w:rPr>
        <w:t>Valsts akciju sabiedrības “Latvijas gaisa satiksme”</w:t>
      </w:r>
    </w:p>
    <w:p w:rsidR="004246E5" w:rsidRPr="00F22B2F" w:rsidRDefault="00FD5AE5" w:rsidP="004246E5">
      <w:pPr>
        <w:jc w:val="center"/>
        <w:rPr>
          <w:b/>
          <w:bCs/>
          <w:lang w:val="lv-LV"/>
        </w:rPr>
      </w:pPr>
      <w:r w:rsidRPr="00F22B2F">
        <w:rPr>
          <w:b/>
          <w:bCs/>
          <w:lang w:val="lv-LV"/>
        </w:rPr>
        <w:t>Z I Ņ O J U M S</w:t>
      </w:r>
    </w:p>
    <w:p w:rsidR="004246E5" w:rsidRPr="00F22B2F" w:rsidRDefault="00FD5AE5" w:rsidP="004246E5">
      <w:pPr>
        <w:jc w:val="center"/>
        <w:rPr>
          <w:b/>
          <w:bCs/>
          <w:caps/>
          <w:lang w:val="lv-LV"/>
        </w:rPr>
      </w:pPr>
      <w:r w:rsidRPr="00F22B2F">
        <w:rPr>
          <w:b/>
          <w:iCs/>
          <w:caps/>
          <w:lang w:val="lv-LV"/>
        </w:rPr>
        <w:t>atklātā konkursā</w:t>
      </w:r>
    </w:p>
    <w:p w:rsidR="00445F1F" w:rsidRPr="00F22B2F" w:rsidRDefault="00445F1F" w:rsidP="000B59C3">
      <w:pPr>
        <w:jc w:val="center"/>
        <w:rPr>
          <w:b/>
          <w:lang w:val="lv-LV"/>
        </w:rPr>
      </w:pPr>
      <w:r w:rsidRPr="00F22B2F">
        <w:rPr>
          <w:b/>
          <w:lang w:val="lv-LV"/>
        </w:rPr>
        <w:t>„</w:t>
      </w:r>
      <w:r w:rsidR="00F22B2F">
        <w:rPr>
          <w:b/>
          <w:lang w:val="lv-LV"/>
        </w:rPr>
        <w:t>Divu gaisa dzesēšanas čilleru nomaiņa KDP ēkā, Lidosta “Rīga”</w:t>
      </w:r>
      <w:r w:rsidR="001A5998" w:rsidRPr="00F22B2F">
        <w:rPr>
          <w:b/>
          <w:lang w:val="lv-LV"/>
        </w:rPr>
        <w:t>”</w:t>
      </w:r>
    </w:p>
    <w:p w:rsidR="00445F1F" w:rsidRPr="00F22B2F" w:rsidRDefault="00F22B2F" w:rsidP="00445F1F">
      <w:pPr>
        <w:jc w:val="center"/>
        <w:rPr>
          <w:b/>
          <w:lang w:val="lv-LV"/>
        </w:rPr>
      </w:pPr>
      <w:r>
        <w:rPr>
          <w:b/>
          <w:lang w:val="lv-LV"/>
        </w:rPr>
        <w:t>Identifikācijas Nr. LGS 2018/48</w:t>
      </w:r>
    </w:p>
    <w:p w:rsidR="00FD5AE5" w:rsidRPr="00F22B2F" w:rsidRDefault="00FD5AE5" w:rsidP="007A6A88">
      <w:pPr>
        <w:rPr>
          <w:b/>
          <w:bCs/>
          <w:iCs/>
          <w:lang w:val="lv-LV"/>
        </w:rPr>
      </w:pPr>
    </w:p>
    <w:p w:rsidR="00FD5AE5" w:rsidRPr="00F22B2F" w:rsidRDefault="00300CBA" w:rsidP="00FD5AE5">
      <w:pPr>
        <w:rPr>
          <w:b/>
          <w:bCs/>
          <w:lang w:val="lv-LV"/>
        </w:rPr>
      </w:pPr>
      <w:r w:rsidRPr="00F22B2F">
        <w:rPr>
          <w:b/>
          <w:bCs/>
          <w:lang w:val="lv-LV"/>
        </w:rPr>
        <w:t>Mārupes novadā,</w:t>
      </w:r>
      <w:r w:rsidRPr="00F22B2F">
        <w:rPr>
          <w:b/>
          <w:bCs/>
          <w:lang w:val="lv-LV"/>
        </w:rPr>
        <w:tab/>
      </w:r>
      <w:r w:rsidRPr="00F22B2F">
        <w:rPr>
          <w:b/>
          <w:bCs/>
          <w:lang w:val="lv-LV"/>
        </w:rPr>
        <w:tab/>
      </w:r>
      <w:r w:rsidRPr="00F22B2F">
        <w:rPr>
          <w:b/>
          <w:bCs/>
          <w:lang w:val="lv-LV"/>
        </w:rPr>
        <w:tab/>
      </w:r>
      <w:r w:rsidRPr="00F22B2F">
        <w:rPr>
          <w:b/>
          <w:bCs/>
          <w:lang w:val="lv-LV"/>
        </w:rPr>
        <w:tab/>
      </w:r>
      <w:r w:rsidRPr="00F22B2F">
        <w:rPr>
          <w:b/>
          <w:bCs/>
          <w:lang w:val="lv-LV"/>
        </w:rPr>
        <w:tab/>
      </w:r>
      <w:r w:rsidR="00F22B2F">
        <w:rPr>
          <w:b/>
          <w:bCs/>
          <w:lang w:val="lv-LV"/>
        </w:rPr>
        <w:tab/>
      </w:r>
      <w:r w:rsidRPr="00F22B2F">
        <w:rPr>
          <w:b/>
          <w:bCs/>
          <w:lang w:val="lv-LV"/>
        </w:rPr>
        <w:tab/>
      </w:r>
      <w:r w:rsidRPr="00F22B2F">
        <w:rPr>
          <w:b/>
          <w:bCs/>
          <w:lang w:val="lv-LV"/>
        </w:rPr>
        <w:tab/>
      </w:r>
      <w:r w:rsidR="00557A6A" w:rsidRPr="00F22B2F">
        <w:rPr>
          <w:b/>
          <w:bCs/>
          <w:lang w:val="lv-LV"/>
        </w:rPr>
        <w:t>2018</w:t>
      </w:r>
      <w:r w:rsidR="00061267" w:rsidRPr="00F22B2F">
        <w:rPr>
          <w:b/>
          <w:bCs/>
          <w:lang w:val="lv-LV"/>
        </w:rPr>
        <w:t xml:space="preserve">.gada </w:t>
      </w:r>
      <w:r w:rsidR="00F22B2F">
        <w:rPr>
          <w:b/>
          <w:bCs/>
          <w:lang w:val="lv-LV"/>
        </w:rPr>
        <w:t>23.augustā</w:t>
      </w:r>
    </w:p>
    <w:p w:rsidR="00FD5AE5" w:rsidRPr="00F22B2F" w:rsidRDefault="00FD5AE5" w:rsidP="00FD5AE5">
      <w:pPr>
        <w:jc w:val="right"/>
        <w:rPr>
          <w:b/>
          <w:highlight w:val="yellow"/>
          <w:lang w:val="lv-LV"/>
        </w:rPr>
      </w:pPr>
    </w:p>
    <w:p w:rsidR="00FD5AE5" w:rsidRPr="006E6C3D" w:rsidRDefault="00FD5AE5" w:rsidP="00FD5AE5">
      <w:pPr>
        <w:numPr>
          <w:ilvl w:val="0"/>
          <w:numId w:val="1"/>
        </w:numPr>
        <w:jc w:val="both"/>
        <w:rPr>
          <w:bCs/>
          <w:lang w:val="lv-LV"/>
        </w:rPr>
      </w:pPr>
      <w:r w:rsidRPr="006E6C3D">
        <w:rPr>
          <w:b/>
          <w:lang w:val="lv-LV"/>
        </w:rPr>
        <w:t>Pasūtītāja nosaukums, reģistrācijas numurs</w:t>
      </w:r>
      <w:r w:rsidRPr="006E6C3D">
        <w:rPr>
          <w:b/>
          <w:bCs/>
          <w:lang w:val="lv-LV"/>
        </w:rPr>
        <w:t xml:space="preserve">: </w:t>
      </w:r>
      <w:r w:rsidRPr="006E6C3D">
        <w:rPr>
          <w:bCs/>
          <w:lang w:val="lv-LV"/>
        </w:rPr>
        <w:t>Valsts akciju sabiedrība „Latvijas gaisa satiksme”, vienotais reģistrācijas Nr.</w:t>
      </w:r>
      <w:r w:rsidRPr="006E6C3D">
        <w:rPr>
          <w:lang w:val="lv-LV"/>
        </w:rPr>
        <w:t xml:space="preserve"> 40003038621.</w:t>
      </w:r>
    </w:p>
    <w:p w:rsidR="00FD5AE5" w:rsidRPr="006E6C3D" w:rsidRDefault="00FD5AE5" w:rsidP="00161EB8">
      <w:pPr>
        <w:ind w:left="360" w:firstLine="360"/>
        <w:jc w:val="both"/>
        <w:rPr>
          <w:lang w:val="lv-LV"/>
        </w:rPr>
      </w:pPr>
      <w:r w:rsidRPr="006E6C3D">
        <w:rPr>
          <w:b/>
          <w:lang w:val="lv-LV"/>
        </w:rPr>
        <w:t>Adrese</w:t>
      </w:r>
      <w:r w:rsidRPr="006E6C3D">
        <w:rPr>
          <w:bCs/>
          <w:lang w:val="lv-LV"/>
        </w:rPr>
        <w:t xml:space="preserve">: </w:t>
      </w:r>
      <w:r w:rsidR="00AB79BF" w:rsidRPr="006E6C3D">
        <w:rPr>
          <w:lang w:val="lv-LV"/>
        </w:rPr>
        <w:t>Lido</w:t>
      </w:r>
      <w:r w:rsidR="006E6C3D">
        <w:rPr>
          <w:lang w:val="lv-LV"/>
        </w:rPr>
        <w:t>sta “Rīga”</w:t>
      </w:r>
      <w:r w:rsidR="00AB79BF" w:rsidRPr="006E6C3D">
        <w:rPr>
          <w:lang w:val="lv-LV"/>
        </w:rPr>
        <w:t>,</w:t>
      </w:r>
      <w:r w:rsidR="00AA549B" w:rsidRPr="006E6C3D">
        <w:rPr>
          <w:lang w:val="lv-LV"/>
        </w:rPr>
        <w:t xml:space="preserve"> Muzeju iela 3,</w:t>
      </w:r>
      <w:r w:rsidR="00AB79BF" w:rsidRPr="006E6C3D">
        <w:rPr>
          <w:lang w:val="lv-LV"/>
        </w:rPr>
        <w:t xml:space="preserve"> Mārupes novads, LV-1053</w:t>
      </w:r>
    </w:p>
    <w:p w:rsidR="00AB79BF" w:rsidRPr="006E6C3D" w:rsidRDefault="00AB79BF" w:rsidP="00161EB8">
      <w:pPr>
        <w:ind w:left="360" w:firstLine="360"/>
        <w:jc w:val="both"/>
        <w:rPr>
          <w:bCs/>
          <w:lang w:val="lv-LV"/>
        </w:rPr>
      </w:pPr>
      <w:r w:rsidRPr="006E6C3D">
        <w:rPr>
          <w:b/>
          <w:bCs/>
          <w:lang w:val="lv-LV"/>
        </w:rPr>
        <w:t>Iepirkuma identifikācijas Nr.:</w:t>
      </w:r>
      <w:r w:rsidR="006E6C3D">
        <w:rPr>
          <w:bCs/>
          <w:lang w:val="lv-LV"/>
        </w:rPr>
        <w:t> LGS 2018/48</w:t>
      </w:r>
    </w:p>
    <w:p w:rsidR="00AB79BF" w:rsidRPr="006E6C3D" w:rsidRDefault="00AB79BF" w:rsidP="00161EB8">
      <w:pPr>
        <w:ind w:left="360" w:firstLine="360"/>
        <w:jc w:val="both"/>
        <w:rPr>
          <w:bCs/>
          <w:lang w:val="lv-LV"/>
        </w:rPr>
      </w:pPr>
      <w:r w:rsidRPr="006E6C3D">
        <w:rPr>
          <w:b/>
          <w:bCs/>
          <w:lang w:val="lv-LV"/>
        </w:rPr>
        <w:t>Iepirkuma procedūras veids:</w:t>
      </w:r>
      <w:r w:rsidRPr="006E6C3D">
        <w:rPr>
          <w:bCs/>
          <w:lang w:val="lv-LV"/>
        </w:rPr>
        <w:t xml:space="preserve"> Atklāts konkurss</w:t>
      </w:r>
    </w:p>
    <w:p w:rsidR="00FD5AE5" w:rsidRPr="006E6C3D" w:rsidRDefault="00FD5AE5" w:rsidP="00AA549B">
      <w:pPr>
        <w:ind w:left="720"/>
        <w:jc w:val="both"/>
        <w:rPr>
          <w:rFonts w:eastAsiaTheme="minorHAnsi"/>
          <w:b/>
          <w:color w:val="000000"/>
          <w:lang w:val="lv-LV"/>
        </w:rPr>
      </w:pPr>
      <w:r w:rsidRPr="006E6C3D">
        <w:rPr>
          <w:b/>
          <w:lang w:val="lv-LV"/>
        </w:rPr>
        <w:t>Iepirkuma priekšmets:</w:t>
      </w:r>
      <w:r w:rsidRPr="006E6C3D">
        <w:rPr>
          <w:bCs/>
          <w:lang w:val="lv-LV"/>
        </w:rPr>
        <w:t xml:space="preserve"> </w:t>
      </w:r>
      <w:r w:rsidR="006E6C3D" w:rsidRPr="006E6C3D">
        <w:rPr>
          <w:b/>
          <w:lang w:val="lv-LV"/>
        </w:rPr>
        <w:t>Divu gaisa dzesēšanas čilleru nomaiņa KDP ēkā, Lidosta “Rīga”</w:t>
      </w:r>
      <w:r w:rsidR="000B59C3" w:rsidRPr="006E6C3D">
        <w:rPr>
          <w:rFonts w:eastAsiaTheme="minorHAnsi"/>
          <w:color w:val="000000"/>
          <w:lang w:val="lv-LV"/>
        </w:rPr>
        <w:t>.</w:t>
      </w:r>
    </w:p>
    <w:p w:rsidR="00061267" w:rsidRPr="006E6C3D" w:rsidRDefault="00061267" w:rsidP="00061267">
      <w:pPr>
        <w:ind w:left="720"/>
        <w:rPr>
          <w:b/>
          <w:lang w:val="lv-LV"/>
        </w:rPr>
      </w:pPr>
    </w:p>
    <w:p w:rsidR="00033961" w:rsidRPr="00C263DA" w:rsidRDefault="00FD5AE5" w:rsidP="004D35BA">
      <w:pPr>
        <w:numPr>
          <w:ilvl w:val="0"/>
          <w:numId w:val="1"/>
        </w:numPr>
        <w:jc w:val="both"/>
        <w:rPr>
          <w:lang w:val="lv-LV"/>
        </w:rPr>
      </w:pPr>
      <w:r w:rsidRPr="00C263DA">
        <w:rPr>
          <w:b/>
          <w:lang w:val="lv-LV"/>
        </w:rPr>
        <w:t>Paziņojums par plānoto līgumu publicēts</w:t>
      </w:r>
      <w:r w:rsidR="00033961" w:rsidRPr="00C263DA">
        <w:rPr>
          <w:b/>
          <w:lang w:val="lv-LV"/>
        </w:rPr>
        <w:t>:</w:t>
      </w:r>
    </w:p>
    <w:p w:rsidR="003307D7" w:rsidRPr="00C263DA" w:rsidRDefault="00FD5AE5" w:rsidP="00AB79BF">
      <w:pPr>
        <w:ind w:firstLine="720"/>
        <w:jc w:val="both"/>
        <w:rPr>
          <w:bCs/>
          <w:lang w:val="lv-LV"/>
        </w:rPr>
      </w:pPr>
      <w:r w:rsidRPr="00C263DA">
        <w:rPr>
          <w:bCs/>
          <w:lang w:val="lv-LV"/>
        </w:rPr>
        <w:t>Iepirkumu uzraudzības biroja mājas lapā internetā</w:t>
      </w:r>
      <w:r w:rsidR="00581640" w:rsidRPr="00C263DA">
        <w:rPr>
          <w:lang w:val="lv-LV"/>
        </w:rPr>
        <w:t xml:space="preserve">: </w:t>
      </w:r>
      <w:r w:rsidR="00C263DA">
        <w:rPr>
          <w:bCs/>
          <w:lang w:val="lv-LV"/>
        </w:rPr>
        <w:t>26.07.2018</w:t>
      </w:r>
      <w:r w:rsidR="000B59C3" w:rsidRPr="00C263DA">
        <w:rPr>
          <w:bCs/>
          <w:lang w:val="lv-LV"/>
        </w:rPr>
        <w:t>.</w:t>
      </w:r>
    </w:p>
    <w:p w:rsidR="000E42CE" w:rsidRPr="00F22B2F" w:rsidRDefault="000E42CE" w:rsidP="00033961">
      <w:pPr>
        <w:ind w:left="1080"/>
        <w:jc w:val="both"/>
        <w:rPr>
          <w:highlight w:val="yellow"/>
          <w:lang w:val="lv-LV"/>
        </w:rPr>
      </w:pPr>
    </w:p>
    <w:p w:rsidR="00725238" w:rsidRPr="00643A80" w:rsidRDefault="00AB79BF" w:rsidP="00725238">
      <w:pPr>
        <w:pStyle w:val="ListParagraph"/>
        <w:numPr>
          <w:ilvl w:val="0"/>
          <w:numId w:val="1"/>
        </w:numPr>
        <w:jc w:val="both"/>
        <w:rPr>
          <w:lang w:val="lv-LV"/>
        </w:rPr>
      </w:pPr>
      <w:r w:rsidRPr="00643A80">
        <w:rPr>
          <w:b/>
          <w:lang w:val="lv-LV"/>
        </w:rPr>
        <w:t>Pastāvīgās iepirkumu komisijas izveidošanas pamatojums:</w:t>
      </w:r>
      <w:r w:rsidRPr="00643A80">
        <w:rPr>
          <w:lang w:val="lv-LV"/>
        </w:rPr>
        <w:t xml:space="preserve"> </w:t>
      </w:r>
      <w:r w:rsidR="00560B40" w:rsidRPr="00643A80">
        <w:rPr>
          <w:color w:val="000000"/>
          <w:lang w:val="lv-LV" w:eastAsia="lv-LV"/>
        </w:rPr>
        <w:t>saskaņā ar valsts akciju sabiedrības “Latvijas gaisa satiksme” valdes priekšsēdētāja 2016.gada 18.maija rīkojuma Nr. RP-AD/PLN-01/27 grozījumiem Nr. RP-AD/PLN-01/27.2 no 08.09.2017</w:t>
      </w:r>
      <w:r w:rsidR="00725238" w:rsidRPr="00643A80">
        <w:rPr>
          <w:lang w:val="lv-LV"/>
        </w:rPr>
        <w:t>.</w:t>
      </w:r>
    </w:p>
    <w:p w:rsidR="00AB79BF" w:rsidRPr="00643A80" w:rsidRDefault="00AB79BF" w:rsidP="00AB79BF">
      <w:pPr>
        <w:ind w:left="720"/>
        <w:jc w:val="both"/>
        <w:rPr>
          <w:b/>
          <w:lang w:val="lv-LV"/>
        </w:rPr>
      </w:pPr>
      <w:r w:rsidRPr="00643A80">
        <w:rPr>
          <w:b/>
          <w:lang w:val="lv-LV"/>
        </w:rPr>
        <w:t>Komisijas sastāvs:</w:t>
      </w:r>
    </w:p>
    <w:p w:rsidR="00AB79BF" w:rsidRPr="00643A80" w:rsidRDefault="00AB79BF" w:rsidP="00A21C59">
      <w:pPr>
        <w:tabs>
          <w:tab w:val="left" w:pos="4253"/>
        </w:tabs>
        <w:ind w:left="720"/>
        <w:jc w:val="both"/>
        <w:rPr>
          <w:u w:val="single"/>
          <w:lang w:val="lv-LV"/>
        </w:rPr>
      </w:pPr>
      <w:r w:rsidRPr="00643A80">
        <w:rPr>
          <w:u w:val="single"/>
          <w:lang w:val="lv-LV"/>
        </w:rPr>
        <w:t xml:space="preserve">Komisijas priekšsēdētājs: </w:t>
      </w:r>
    </w:p>
    <w:p w:rsidR="00AB79BF" w:rsidRPr="00643A80" w:rsidRDefault="00AB79BF" w:rsidP="00AB79BF">
      <w:pPr>
        <w:tabs>
          <w:tab w:val="left" w:pos="4253"/>
        </w:tabs>
        <w:ind w:left="720"/>
        <w:jc w:val="both"/>
        <w:rPr>
          <w:lang w:val="lv-LV"/>
        </w:rPr>
      </w:pPr>
      <w:r w:rsidRPr="00643A80">
        <w:rPr>
          <w:lang w:val="lv-LV"/>
        </w:rPr>
        <w:t>Valdes loceklis Elmārs Švēde</w:t>
      </w:r>
    </w:p>
    <w:p w:rsidR="00AB79BF" w:rsidRPr="00643A80" w:rsidRDefault="00AB79BF" w:rsidP="00AB79BF">
      <w:pPr>
        <w:tabs>
          <w:tab w:val="left" w:pos="4253"/>
        </w:tabs>
        <w:ind w:left="720"/>
        <w:jc w:val="both"/>
        <w:rPr>
          <w:u w:val="single"/>
          <w:lang w:val="lv-LV"/>
        </w:rPr>
      </w:pPr>
      <w:r w:rsidRPr="00643A80">
        <w:rPr>
          <w:u w:val="single"/>
          <w:lang w:val="lv-LV"/>
        </w:rPr>
        <w:t>Komi</w:t>
      </w:r>
      <w:r w:rsidR="00725238" w:rsidRPr="00643A80">
        <w:rPr>
          <w:u w:val="single"/>
          <w:lang w:val="lv-LV"/>
        </w:rPr>
        <w:t>sijas priekšsēdētāja vietniece</w:t>
      </w:r>
      <w:r w:rsidR="00A21C59" w:rsidRPr="00643A80">
        <w:rPr>
          <w:u w:val="single"/>
          <w:lang w:val="lv-LV"/>
        </w:rPr>
        <w:t>:</w:t>
      </w:r>
    </w:p>
    <w:p w:rsidR="00AB79BF" w:rsidRPr="00643A80" w:rsidRDefault="00AB79BF" w:rsidP="00AB79BF">
      <w:pPr>
        <w:tabs>
          <w:tab w:val="left" w:pos="4253"/>
        </w:tabs>
        <w:ind w:left="720"/>
        <w:jc w:val="both"/>
        <w:rPr>
          <w:lang w:val="lv-LV"/>
        </w:rPr>
      </w:pPr>
      <w:r w:rsidRPr="00643A80">
        <w:rPr>
          <w:lang w:val="lv-LV"/>
        </w:rPr>
        <w:t xml:space="preserve">Iepirkumu nodaļas </w:t>
      </w:r>
      <w:r w:rsidR="00725238" w:rsidRPr="00643A80">
        <w:rPr>
          <w:lang w:val="lv-LV"/>
        </w:rPr>
        <w:t>vadītāja Evita Morkūna</w:t>
      </w:r>
    </w:p>
    <w:p w:rsidR="00FF00C9" w:rsidRPr="00643A80" w:rsidRDefault="00FF00C9" w:rsidP="00AB79BF">
      <w:pPr>
        <w:tabs>
          <w:tab w:val="left" w:pos="4253"/>
        </w:tabs>
        <w:ind w:left="4253" w:hanging="3533"/>
        <w:jc w:val="both"/>
        <w:rPr>
          <w:u w:val="single"/>
          <w:lang w:val="lv-LV"/>
        </w:rPr>
      </w:pPr>
      <w:r w:rsidRPr="00643A80">
        <w:rPr>
          <w:u w:val="single"/>
          <w:lang w:val="lv-LV"/>
        </w:rPr>
        <w:t>Komisijas locekļi:</w:t>
      </w:r>
    </w:p>
    <w:p w:rsidR="00AB79BF" w:rsidRPr="00643A80" w:rsidRDefault="00FF00C9" w:rsidP="00AB79BF">
      <w:pPr>
        <w:tabs>
          <w:tab w:val="left" w:pos="4253"/>
        </w:tabs>
        <w:ind w:left="4253" w:hanging="3533"/>
        <w:jc w:val="both"/>
        <w:rPr>
          <w:lang w:val="lv-LV"/>
        </w:rPr>
      </w:pPr>
      <w:r w:rsidRPr="00643A80">
        <w:rPr>
          <w:lang w:val="lv-LV"/>
        </w:rPr>
        <w:t>Administratīvā departamenta vadītājs Ilgonis Gaugers</w:t>
      </w:r>
    </w:p>
    <w:p w:rsidR="00F40C15" w:rsidRPr="00643A80" w:rsidRDefault="00725238" w:rsidP="00AB79BF">
      <w:pPr>
        <w:tabs>
          <w:tab w:val="left" w:pos="4253"/>
        </w:tabs>
        <w:ind w:left="4253" w:hanging="3533"/>
        <w:jc w:val="both"/>
        <w:rPr>
          <w:lang w:val="lv-LV"/>
        </w:rPr>
      </w:pPr>
      <w:r w:rsidRPr="00643A80">
        <w:rPr>
          <w:lang w:val="lv-LV"/>
        </w:rPr>
        <w:t>Valdes locekle</w:t>
      </w:r>
      <w:r w:rsidR="00F40C15" w:rsidRPr="00643A80">
        <w:rPr>
          <w:lang w:val="lv-LV"/>
        </w:rPr>
        <w:t xml:space="preserve"> Iveta Virse</w:t>
      </w:r>
    </w:p>
    <w:p w:rsidR="00F40C15" w:rsidRPr="00643A80" w:rsidRDefault="00725238" w:rsidP="00AB79BF">
      <w:pPr>
        <w:tabs>
          <w:tab w:val="left" w:pos="4253"/>
        </w:tabs>
        <w:ind w:left="4253" w:hanging="3533"/>
        <w:jc w:val="both"/>
        <w:rPr>
          <w:lang w:val="lv-LV"/>
        </w:rPr>
      </w:pPr>
      <w:r w:rsidRPr="00643A80">
        <w:rPr>
          <w:lang w:val="lv-LV"/>
        </w:rPr>
        <w:t>Administratīvā departamenta vadītāja vietnieks</w:t>
      </w:r>
      <w:r w:rsidR="00F40C15" w:rsidRPr="00643A80">
        <w:rPr>
          <w:lang w:val="lv-LV"/>
        </w:rPr>
        <w:t xml:space="preserve"> Ivars Saliņš</w:t>
      </w:r>
    </w:p>
    <w:p w:rsidR="00725238" w:rsidRPr="00643A80" w:rsidRDefault="00725238" w:rsidP="00AB79BF">
      <w:pPr>
        <w:tabs>
          <w:tab w:val="left" w:pos="4253"/>
        </w:tabs>
        <w:ind w:left="4253" w:hanging="3533"/>
        <w:jc w:val="both"/>
        <w:rPr>
          <w:lang w:val="lv-LV"/>
        </w:rPr>
      </w:pPr>
      <w:r w:rsidRPr="00643A80">
        <w:rPr>
          <w:lang w:val="lv-LV"/>
        </w:rPr>
        <w:t>Iepirkum</w:t>
      </w:r>
      <w:r w:rsidR="00E62FAC" w:rsidRPr="00643A80">
        <w:rPr>
          <w:lang w:val="lv-LV"/>
        </w:rPr>
        <w:t xml:space="preserve">u nodaļas vadītājas vietnieks Ēriks </w:t>
      </w:r>
      <w:r w:rsidRPr="00643A80">
        <w:rPr>
          <w:lang w:val="lv-LV"/>
        </w:rPr>
        <w:t>Ezeriņš</w:t>
      </w:r>
    </w:p>
    <w:p w:rsidR="00F40C15" w:rsidRPr="00643A80" w:rsidRDefault="00560B40" w:rsidP="00F40C15">
      <w:pPr>
        <w:tabs>
          <w:tab w:val="left" w:pos="-709"/>
        </w:tabs>
        <w:ind w:left="709" w:firstLine="11"/>
        <w:jc w:val="both"/>
        <w:rPr>
          <w:lang w:val="lv-LV"/>
        </w:rPr>
      </w:pPr>
      <w:r w:rsidRPr="00643A80">
        <w:rPr>
          <w:lang w:val="lv-LV"/>
        </w:rPr>
        <w:t>Sakaru</w:t>
      </w:r>
      <w:r w:rsidR="00F40C15" w:rsidRPr="00643A80">
        <w:rPr>
          <w:lang w:val="lv-LV"/>
        </w:rPr>
        <w:t xml:space="preserve"> nodaļas vadītājs </w:t>
      </w:r>
      <w:r w:rsidR="00E62FAC" w:rsidRPr="00643A80">
        <w:rPr>
          <w:lang w:val="lv-LV"/>
        </w:rPr>
        <w:t>Ainārs Šņepsts</w:t>
      </w:r>
    </w:p>
    <w:p w:rsidR="00585A1B" w:rsidRPr="00643A80" w:rsidRDefault="006A25D4" w:rsidP="00F40C15">
      <w:pPr>
        <w:tabs>
          <w:tab w:val="left" w:pos="-709"/>
        </w:tabs>
        <w:ind w:left="709" w:firstLine="11"/>
        <w:jc w:val="both"/>
        <w:rPr>
          <w:b/>
          <w:lang w:val="lv-LV"/>
        </w:rPr>
      </w:pPr>
      <w:r w:rsidRPr="00643A80">
        <w:rPr>
          <w:b/>
          <w:lang w:val="lv-LV"/>
        </w:rPr>
        <w:t>Komisijas sēdes p</w:t>
      </w:r>
      <w:r w:rsidR="00585A1B" w:rsidRPr="00643A80">
        <w:rPr>
          <w:b/>
          <w:lang w:val="lv-LV"/>
        </w:rPr>
        <w:t>rotokolē:</w:t>
      </w:r>
    </w:p>
    <w:p w:rsidR="00E62FAC" w:rsidRPr="00643A80" w:rsidRDefault="00643A80" w:rsidP="00E62FAC">
      <w:pPr>
        <w:tabs>
          <w:tab w:val="left" w:pos="4253"/>
        </w:tabs>
        <w:ind w:left="4253" w:hanging="3533"/>
        <w:jc w:val="both"/>
        <w:rPr>
          <w:lang w:val="lv-LV"/>
        </w:rPr>
      </w:pPr>
      <w:r w:rsidRPr="00712F61">
        <w:rPr>
          <w:lang w:val="lv-LV"/>
        </w:rPr>
        <w:t>Iepirkumu nodaļ</w:t>
      </w:r>
      <w:r>
        <w:rPr>
          <w:lang w:val="lv-LV"/>
        </w:rPr>
        <w:t>as konsultants – iepirkumu speciālists Z.Linaberga – Dzerkale</w:t>
      </w:r>
    </w:p>
    <w:p w:rsidR="00F26B25" w:rsidRPr="00643A80" w:rsidRDefault="00F26B25" w:rsidP="00F40C15">
      <w:pPr>
        <w:tabs>
          <w:tab w:val="left" w:pos="-709"/>
        </w:tabs>
        <w:ind w:left="709" w:firstLine="11"/>
        <w:jc w:val="both"/>
        <w:rPr>
          <w:b/>
          <w:lang w:val="lv-LV"/>
        </w:rPr>
      </w:pPr>
      <w:r w:rsidRPr="00643A80">
        <w:rPr>
          <w:b/>
          <w:lang w:val="lv-LV"/>
        </w:rPr>
        <w:t>Iepirkumu procedūras dokumentu sagatavotāji un pieaicinātie eksperti:</w:t>
      </w:r>
    </w:p>
    <w:p w:rsidR="00F26B25" w:rsidRPr="00BF5D87" w:rsidRDefault="003456CD" w:rsidP="00F40C15">
      <w:pPr>
        <w:tabs>
          <w:tab w:val="left" w:pos="-709"/>
        </w:tabs>
        <w:ind w:left="709" w:firstLine="11"/>
        <w:jc w:val="both"/>
        <w:rPr>
          <w:lang w:val="lv-LV"/>
        </w:rPr>
      </w:pPr>
      <w:r w:rsidRPr="00F44016">
        <w:rPr>
          <w:lang w:val="lv-LV"/>
        </w:rPr>
        <w:t>Jurid</w:t>
      </w:r>
      <w:r w:rsidR="008858FD" w:rsidRPr="00F44016">
        <w:rPr>
          <w:lang w:val="lv-LV"/>
        </w:rPr>
        <w:t xml:space="preserve">iskās nodaļas </w:t>
      </w:r>
      <w:r w:rsidR="00E62FAC" w:rsidRPr="00BF5D87">
        <w:rPr>
          <w:lang w:val="lv-LV"/>
        </w:rPr>
        <w:t>vadītāja Z.Ķurzēna</w:t>
      </w:r>
      <w:r w:rsidRPr="00BF5D87">
        <w:rPr>
          <w:lang w:val="lv-LV"/>
        </w:rPr>
        <w:t>,</w:t>
      </w:r>
      <w:r w:rsidR="00BF5D87" w:rsidRPr="00BF5D87">
        <w:rPr>
          <w:lang w:val="lv-LV"/>
        </w:rPr>
        <w:t xml:space="preserve"> Celtniecības un transporta nodaļas vadītājs A.Laizāns, Celtniecības un transporta nodaļas vadītāja vietnieks A.Limants</w:t>
      </w:r>
      <w:r w:rsidR="008858FD" w:rsidRPr="00BF5D87">
        <w:rPr>
          <w:lang w:val="lv-LV"/>
        </w:rPr>
        <w:t>.</w:t>
      </w:r>
    </w:p>
    <w:p w:rsidR="00D671CF" w:rsidRPr="00F22B2F" w:rsidRDefault="00D671CF" w:rsidP="00D671CF">
      <w:pPr>
        <w:tabs>
          <w:tab w:val="left" w:pos="4253"/>
        </w:tabs>
        <w:jc w:val="both"/>
        <w:rPr>
          <w:highlight w:val="yellow"/>
          <w:lang w:val="lv-LV"/>
        </w:rPr>
      </w:pPr>
    </w:p>
    <w:p w:rsidR="00D671CF" w:rsidRPr="00516B7D" w:rsidRDefault="006F23E6" w:rsidP="00BB21D3">
      <w:pPr>
        <w:pStyle w:val="ListParagraph"/>
        <w:numPr>
          <w:ilvl w:val="0"/>
          <w:numId w:val="1"/>
        </w:numPr>
        <w:tabs>
          <w:tab w:val="left" w:pos="4253"/>
        </w:tabs>
        <w:jc w:val="both"/>
        <w:rPr>
          <w:lang w:val="lv-LV"/>
        </w:rPr>
      </w:pPr>
      <w:r w:rsidRPr="00516B7D">
        <w:rPr>
          <w:b/>
          <w:lang w:val="lv-LV"/>
        </w:rPr>
        <w:t>Piedāvājumu iesniegšanas termiņš; pamatojums termiņa saīsinājumam (tai skaitā steidzamībai atbilstoši MK</w:t>
      </w:r>
      <w:r w:rsidR="008E3EE8" w:rsidRPr="00516B7D">
        <w:rPr>
          <w:b/>
          <w:lang w:val="lv-LV"/>
        </w:rPr>
        <w:t>N</w:t>
      </w:r>
      <w:r w:rsidRPr="00516B7D">
        <w:rPr>
          <w:b/>
          <w:lang w:val="lv-LV"/>
        </w:rPr>
        <w:t xml:space="preserve"> Nr.107 no 28.02.2017. 5.punktam), ja tāds veikts:</w:t>
      </w:r>
    </w:p>
    <w:p w:rsidR="006F23E6" w:rsidRPr="00516B7D" w:rsidRDefault="00516B7D" w:rsidP="007A6A88">
      <w:pPr>
        <w:pStyle w:val="ListParagraph"/>
        <w:tabs>
          <w:tab w:val="left" w:pos="4253"/>
        </w:tabs>
        <w:jc w:val="both"/>
        <w:rPr>
          <w:lang w:val="lv-LV"/>
        </w:rPr>
      </w:pPr>
      <w:r>
        <w:rPr>
          <w:lang w:val="lv-LV"/>
        </w:rPr>
        <w:t>2018</w:t>
      </w:r>
      <w:r w:rsidR="006F23E6" w:rsidRPr="00516B7D">
        <w:rPr>
          <w:lang w:val="lv-LV"/>
        </w:rPr>
        <w:t xml:space="preserve">.gada </w:t>
      </w:r>
      <w:r>
        <w:rPr>
          <w:lang w:val="lv-LV"/>
        </w:rPr>
        <w:t>17.augusts</w:t>
      </w:r>
      <w:r w:rsidR="006F23E6" w:rsidRPr="00516B7D">
        <w:rPr>
          <w:lang w:val="lv-LV"/>
        </w:rPr>
        <w:t>, plkst.: 12:00.</w:t>
      </w:r>
    </w:p>
    <w:p w:rsidR="007A6A88" w:rsidRPr="00F22B2F" w:rsidRDefault="007A6A88" w:rsidP="007A6A88">
      <w:pPr>
        <w:tabs>
          <w:tab w:val="left" w:pos="4253"/>
        </w:tabs>
        <w:jc w:val="both"/>
        <w:rPr>
          <w:highlight w:val="yellow"/>
          <w:lang w:val="lv-LV"/>
        </w:rPr>
      </w:pPr>
    </w:p>
    <w:p w:rsidR="006F23E6" w:rsidRPr="00E9203B" w:rsidRDefault="00576647" w:rsidP="00BB21D3">
      <w:pPr>
        <w:pStyle w:val="ListParagraph"/>
        <w:numPr>
          <w:ilvl w:val="0"/>
          <w:numId w:val="1"/>
        </w:numPr>
        <w:tabs>
          <w:tab w:val="left" w:pos="4253"/>
        </w:tabs>
        <w:jc w:val="both"/>
        <w:rPr>
          <w:lang w:val="lv-LV"/>
        </w:rPr>
      </w:pPr>
      <w:r w:rsidRPr="00E9203B">
        <w:rPr>
          <w:b/>
          <w:lang w:val="lv-LV"/>
        </w:rPr>
        <w:t>Piegādātāju nosaukumi, kuri iesnieguši piedāvājumus, kā arī piedāvātās cenas:</w:t>
      </w:r>
      <w:r w:rsidR="001656D6" w:rsidRPr="00E9203B">
        <w:rPr>
          <w:b/>
          <w:lang w:val="lv-LV"/>
        </w:rPr>
        <w:t xml:space="preserve"> </w:t>
      </w:r>
    </w:p>
    <w:p w:rsidR="00E9203B" w:rsidRPr="0047498F" w:rsidRDefault="00E9203B" w:rsidP="00E9203B">
      <w:pPr>
        <w:pStyle w:val="BodyText"/>
        <w:tabs>
          <w:tab w:val="clear" w:pos="3402"/>
        </w:tabs>
        <w:ind w:left="720"/>
        <w:rPr>
          <w:szCs w:val="24"/>
        </w:rPr>
      </w:pPr>
      <w:r>
        <w:rPr>
          <w:szCs w:val="24"/>
        </w:rPr>
        <w:t>SIA “LĒMAN</w:t>
      </w:r>
      <w:r w:rsidRPr="0047498F">
        <w:rPr>
          <w:szCs w:val="24"/>
        </w:rPr>
        <w:t>” finanš</w:t>
      </w:r>
      <w:r>
        <w:rPr>
          <w:szCs w:val="24"/>
        </w:rPr>
        <w:t>u piedāvājuma kopējā summa ir 157 730,05</w:t>
      </w:r>
      <w:r w:rsidRPr="0047498F">
        <w:rPr>
          <w:szCs w:val="24"/>
        </w:rPr>
        <w:t> EUR.</w:t>
      </w:r>
    </w:p>
    <w:p w:rsidR="00E9203B" w:rsidRPr="0047498F" w:rsidRDefault="00E9203B" w:rsidP="00E9203B">
      <w:pPr>
        <w:pStyle w:val="BodyText"/>
        <w:tabs>
          <w:tab w:val="clear" w:pos="3402"/>
        </w:tabs>
        <w:ind w:left="720"/>
        <w:rPr>
          <w:szCs w:val="24"/>
        </w:rPr>
      </w:pPr>
      <w:r>
        <w:rPr>
          <w:szCs w:val="24"/>
        </w:rPr>
        <w:t>SIA “Moduls Engineering</w:t>
      </w:r>
      <w:r w:rsidRPr="0047498F">
        <w:rPr>
          <w:szCs w:val="24"/>
        </w:rPr>
        <w:t>” finanš</w:t>
      </w:r>
      <w:r>
        <w:rPr>
          <w:szCs w:val="24"/>
        </w:rPr>
        <w:t>u piedāvājuma kopējā summa ir 175 483,82</w:t>
      </w:r>
      <w:r w:rsidRPr="0047498F">
        <w:rPr>
          <w:szCs w:val="24"/>
        </w:rPr>
        <w:t> EUR.</w:t>
      </w:r>
    </w:p>
    <w:p w:rsidR="00CD5EA1" w:rsidRPr="0076099B" w:rsidRDefault="001656D6" w:rsidP="005B0961">
      <w:pPr>
        <w:tabs>
          <w:tab w:val="left" w:pos="4253"/>
        </w:tabs>
        <w:jc w:val="both"/>
        <w:rPr>
          <w:lang w:val="lv-LV"/>
        </w:rPr>
      </w:pPr>
      <w:r w:rsidRPr="0076099B">
        <w:rPr>
          <w:lang w:val="lv-LV"/>
        </w:rPr>
        <w:tab/>
      </w:r>
    </w:p>
    <w:p w:rsidR="00400E30" w:rsidRPr="0076099B" w:rsidRDefault="006D6AF7" w:rsidP="00400E30">
      <w:pPr>
        <w:pStyle w:val="ListParagraph"/>
        <w:numPr>
          <w:ilvl w:val="0"/>
          <w:numId w:val="1"/>
        </w:numPr>
        <w:tabs>
          <w:tab w:val="left" w:pos="4253"/>
        </w:tabs>
        <w:jc w:val="both"/>
        <w:rPr>
          <w:b/>
          <w:lang w:val="lv-LV"/>
        </w:rPr>
      </w:pPr>
      <w:r w:rsidRPr="0076099B">
        <w:rPr>
          <w:b/>
          <w:lang w:val="lv-LV"/>
        </w:rPr>
        <w:t>Piedāvājumu atvēršanas vieta, datums un laiks:</w:t>
      </w:r>
    </w:p>
    <w:p w:rsidR="0076099B" w:rsidRPr="0076099B" w:rsidRDefault="00331058" w:rsidP="0076099B">
      <w:pPr>
        <w:pStyle w:val="ListParagraph"/>
        <w:tabs>
          <w:tab w:val="left" w:pos="4253"/>
        </w:tabs>
        <w:jc w:val="both"/>
        <w:rPr>
          <w:lang w:val="lv-LV"/>
        </w:rPr>
      </w:pPr>
      <w:hyperlink r:id="rId8" w:history="1">
        <w:r w:rsidR="0076099B" w:rsidRPr="0076099B">
          <w:rPr>
            <w:rStyle w:val="Hyperlink"/>
            <w:color w:val="1F497D" w:themeColor="text2"/>
            <w:lang w:val="lv-LV"/>
          </w:rPr>
          <w:t>https://www.eis.gov.lv/EKEIS/Supplier/</w:t>
        </w:r>
      </w:hyperlink>
      <w:r w:rsidR="00682A48">
        <w:rPr>
          <w:lang w:val="lv-LV"/>
        </w:rPr>
        <w:t>, 2018.gada 17.augustā, plkst.:</w:t>
      </w:r>
      <w:r w:rsidR="0076099B">
        <w:rPr>
          <w:lang w:val="lv-LV"/>
        </w:rPr>
        <w:t> </w:t>
      </w:r>
      <w:r w:rsidR="0076099B" w:rsidRPr="0076099B">
        <w:rPr>
          <w:lang w:val="lv-LV"/>
        </w:rPr>
        <w:t>12:00.</w:t>
      </w:r>
    </w:p>
    <w:p w:rsidR="006D6AF7" w:rsidRPr="0076099B" w:rsidRDefault="001656D6" w:rsidP="006D6AF7">
      <w:pPr>
        <w:pStyle w:val="ListParagraph"/>
        <w:tabs>
          <w:tab w:val="left" w:pos="4253"/>
        </w:tabs>
        <w:jc w:val="both"/>
        <w:rPr>
          <w:lang w:val="lv-LV"/>
        </w:rPr>
      </w:pPr>
      <w:r w:rsidRPr="0076099B">
        <w:rPr>
          <w:lang w:val="lv-LV"/>
        </w:rPr>
        <w:tab/>
      </w:r>
    </w:p>
    <w:p w:rsidR="00DB4015" w:rsidRPr="00F22B2F" w:rsidRDefault="00DB4015" w:rsidP="00DB4015">
      <w:pPr>
        <w:tabs>
          <w:tab w:val="left" w:pos="4253"/>
        </w:tabs>
        <w:jc w:val="both"/>
        <w:rPr>
          <w:highlight w:val="yellow"/>
          <w:lang w:val="lv-LV"/>
        </w:rPr>
      </w:pPr>
    </w:p>
    <w:p w:rsidR="00624AC6" w:rsidRDefault="002405EA" w:rsidP="001656D6">
      <w:pPr>
        <w:pStyle w:val="ListParagraph"/>
        <w:numPr>
          <w:ilvl w:val="0"/>
          <w:numId w:val="1"/>
        </w:numPr>
        <w:tabs>
          <w:tab w:val="left" w:pos="4253"/>
        </w:tabs>
        <w:jc w:val="both"/>
        <w:rPr>
          <w:b/>
          <w:lang w:val="lv-LV"/>
        </w:rPr>
      </w:pPr>
      <w:r w:rsidRPr="00516B7D">
        <w:rPr>
          <w:b/>
          <w:lang w:val="lv-LV"/>
        </w:rPr>
        <w:lastRenderedPageBreak/>
        <w:t>Pretendenta (vai pretendentu) nosaukums, kuram (kuriem) piešķirtas līguma slēgšana</w:t>
      </w:r>
      <w:r w:rsidR="00BE3478" w:rsidRPr="00516B7D">
        <w:rPr>
          <w:b/>
          <w:lang w:val="lv-LV"/>
        </w:rPr>
        <w:t>s tiesības, piedāvātā līgumcena:</w:t>
      </w:r>
    </w:p>
    <w:p w:rsidR="00111A9A" w:rsidRPr="00516B7D" w:rsidRDefault="001656D6" w:rsidP="00624AC6">
      <w:pPr>
        <w:pStyle w:val="ListParagraph"/>
        <w:tabs>
          <w:tab w:val="left" w:pos="4253"/>
        </w:tabs>
        <w:jc w:val="both"/>
        <w:rPr>
          <w:b/>
          <w:lang w:val="lv-LV"/>
        </w:rPr>
      </w:pPr>
      <w:r w:rsidRPr="00516B7D">
        <w:rPr>
          <w:b/>
          <w:lang w:val="lv-LV"/>
        </w:rPr>
        <w:t>-</w:t>
      </w:r>
    </w:p>
    <w:p w:rsidR="0079246D" w:rsidRPr="00F22B2F" w:rsidRDefault="0079246D" w:rsidP="00BE3478">
      <w:pPr>
        <w:pStyle w:val="ListParagraph"/>
        <w:tabs>
          <w:tab w:val="left" w:pos="4253"/>
        </w:tabs>
        <w:jc w:val="both"/>
        <w:rPr>
          <w:b/>
          <w:highlight w:val="yellow"/>
          <w:lang w:val="lv-LV"/>
        </w:rPr>
      </w:pPr>
    </w:p>
    <w:p w:rsidR="00DB4015" w:rsidRPr="0040778E" w:rsidRDefault="00BE3478" w:rsidP="00DB4015">
      <w:pPr>
        <w:pStyle w:val="ListParagraph"/>
        <w:numPr>
          <w:ilvl w:val="0"/>
          <w:numId w:val="1"/>
        </w:numPr>
        <w:tabs>
          <w:tab w:val="left" w:pos="4253"/>
        </w:tabs>
        <w:jc w:val="both"/>
        <w:rPr>
          <w:b/>
          <w:lang w:val="lv-LV"/>
        </w:rPr>
      </w:pPr>
      <w:r w:rsidRPr="0040778E">
        <w:rPr>
          <w:b/>
          <w:lang w:val="lv-LV"/>
        </w:rPr>
        <w:t>P</w:t>
      </w:r>
      <w:r w:rsidR="002405EA" w:rsidRPr="0040778E">
        <w:rPr>
          <w:b/>
          <w:lang w:val="lv-LV"/>
        </w:rPr>
        <w:t>iedāvājumu izvērtēšanas kopsavilkums un piedāvājuma izvēles pamatojums:</w:t>
      </w:r>
    </w:p>
    <w:p w:rsidR="008028AC" w:rsidRDefault="008028AC" w:rsidP="008028AC">
      <w:pPr>
        <w:pStyle w:val="ListParagraph"/>
        <w:tabs>
          <w:tab w:val="left" w:pos="4253"/>
        </w:tabs>
        <w:jc w:val="both"/>
        <w:rPr>
          <w:lang w:val="lv-LV"/>
        </w:rPr>
      </w:pPr>
      <w:r w:rsidRPr="008028AC">
        <w:rPr>
          <w:lang w:val="lv-LV"/>
        </w:rPr>
        <w:t>Saimnieciski visizdevīgākais piedāvājums, kuru nosaka, ņemot vērā nolikumā noteiktos sekojošos vērtēšanas kritērijus:</w:t>
      </w:r>
    </w:p>
    <w:p w:rsidR="007A00FC" w:rsidRDefault="007A00FC" w:rsidP="008028AC">
      <w:pPr>
        <w:pStyle w:val="ListParagraph"/>
        <w:tabs>
          <w:tab w:val="left" w:pos="4253"/>
        </w:tabs>
        <w:jc w:val="both"/>
        <w:rPr>
          <w:lang w:val="lv-LV"/>
        </w:rPr>
      </w:pPr>
    </w:p>
    <w:p w:rsidR="00FC6C58" w:rsidRDefault="00FC6C58" w:rsidP="008028AC">
      <w:pPr>
        <w:pStyle w:val="ListParagraph"/>
        <w:tabs>
          <w:tab w:val="left" w:pos="4253"/>
        </w:tabs>
        <w:jc w:val="both"/>
        <w:rPr>
          <w:lang w:val="lv-LV"/>
        </w:rPr>
      </w:pPr>
    </w:p>
    <w:p w:rsidR="007A00FC" w:rsidRPr="00A97EF3" w:rsidRDefault="007A00FC" w:rsidP="007A00FC">
      <w:pPr>
        <w:pStyle w:val="NoSpacing"/>
        <w:numPr>
          <w:ilvl w:val="0"/>
          <w:numId w:val="15"/>
        </w:numPr>
        <w:rPr>
          <w:sz w:val="24"/>
          <w:szCs w:val="24"/>
        </w:rPr>
      </w:pPr>
      <w:r>
        <w:rPr>
          <w:sz w:val="24"/>
          <w:szCs w:val="24"/>
        </w:rPr>
        <w:t>Saimnieciski visizdevīgākais piedāvājums tiek noteikts pēc šādiem kritērijiem:</w:t>
      </w:r>
    </w:p>
    <w:tbl>
      <w:tblPr>
        <w:tblW w:w="8359" w:type="dxa"/>
        <w:jc w:val="center"/>
        <w:tblLook w:val="04A0" w:firstRow="1" w:lastRow="0" w:firstColumn="1" w:lastColumn="0" w:noHBand="0" w:noVBand="1"/>
      </w:tblPr>
      <w:tblGrid>
        <w:gridCol w:w="1109"/>
        <w:gridCol w:w="4273"/>
        <w:gridCol w:w="2977"/>
      </w:tblGrid>
      <w:tr w:rsidR="007A00FC" w:rsidRPr="007A00FC" w:rsidTr="00960CC4">
        <w:trPr>
          <w:trHeight w:val="648"/>
          <w:jc w:val="center"/>
        </w:trPr>
        <w:tc>
          <w:tcPr>
            <w:tcW w:w="1109"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7A00FC" w:rsidRPr="007A00FC" w:rsidRDefault="007A00FC" w:rsidP="00960CC4">
            <w:pPr>
              <w:jc w:val="center"/>
              <w:rPr>
                <w:b/>
                <w:bCs/>
                <w:color w:val="000000"/>
                <w:lang w:val="lv-LV" w:eastAsia="lv-LV"/>
              </w:rPr>
            </w:pPr>
            <w:r w:rsidRPr="007A00FC">
              <w:rPr>
                <w:b/>
                <w:bCs/>
                <w:color w:val="000000"/>
                <w:lang w:val="lv-LV" w:eastAsia="lv-LV"/>
              </w:rPr>
              <w:t>Kritērijs</w:t>
            </w:r>
          </w:p>
        </w:tc>
        <w:tc>
          <w:tcPr>
            <w:tcW w:w="4273" w:type="dxa"/>
            <w:tcBorders>
              <w:top w:val="single" w:sz="4" w:space="0" w:color="auto"/>
              <w:left w:val="nil"/>
              <w:bottom w:val="single" w:sz="4" w:space="0" w:color="auto"/>
              <w:right w:val="single" w:sz="4" w:space="0" w:color="auto"/>
            </w:tcBorders>
            <w:shd w:val="clear" w:color="000000" w:fill="BDD7EE"/>
            <w:noWrap/>
            <w:vAlign w:val="center"/>
            <w:hideMark/>
          </w:tcPr>
          <w:p w:rsidR="007A00FC" w:rsidRPr="007A00FC" w:rsidRDefault="007A00FC" w:rsidP="00960CC4">
            <w:pPr>
              <w:jc w:val="center"/>
              <w:rPr>
                <w:b/>
                <w:bCs/>
                <w:color w:val="000000"/>
                <w:lang w:val="lv-LV" w:eastAsia="lv-LV"/>
              </w:rPr>
            </w:pPr>
            <w:r w:rsidRPr="007A00FC">
              <w:rPr>
                <w:b/>
                <w:bCs/>
                <w:color w:val="000000"/>
                <w:lang w:val="lv-LV" w:eastAsia="lv-LV"/>
              </w:rPr>
              <w:t>Vērtēšanas kritērija apraksts</w:t>
            </w:r>
          </w:p>
        </w:tc>
        <w:tc>
          <w:tcPr>
            <w:tcW w:w="2977" w:type="dxa"/>
            <w:tcBorders>
              <w:top w:val="single" w:sz="4" w:space="0" w:color="auto"/>
              <w:left w:val="nil"/>
              <w:bottom w:val="single" w:sz="4" w:space="0" w:color="auto"/>
              <w:right w:val="single" w:sz="4" w:space="0" w:color="auto"/>
            </w:tcBorders>
            <w:shd w:val="clear" w:color="000000" w:fill="BDD7EE"/>
            <w:vAlign w:val="center"/>
            <w:hideMark/>
          </w:tcPr>
          <w:p w:rsidR="007A00FC" w:rsidRPr="007A00FC" w:rsidRDefault="007A00FC" w:rsidP="00960CC4">
            <w:pPr>
              <w:jc w:val="center"/>
              <w:rPr>
                <w:b/>
                <w:bCs/>
                <w:color w:val="000000"/>
                <w:lang w:val="lv-LV" w:eastAsia="lv-LV"/>
              </w:rPr>
            </w:pPr>
            <w:r w:rsidRPr="007A00FC">
              <w:rPr>
                <w:b/>
                <w:bCs/>
                <w:color w:val="000000"/>
                <w:lang w:val="lv-LV" w:eastAsia="lv-LV"/>
              </w:rPr>
              <w:t>Maksimāli iegūstamais punktu skaits</w:t>
            </w:r>
          </w:p>
        </w:tc>
      </w:tr>
      <w:tr w:rsidR="007A00FC" w:rsidRPr="007A00FC" w:rsidTr="00960CC4">
        <w:trPr>
          <w:trHeight w:val="315"/>
          <w:jc w:val="center"/>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7A00FC" w:rsidRPr="007A00FC" w:rsidRDefault="007A00FC" w:rsidP="00960CC4">
            <w:pPr>
              <w:jc w:val="center"/>
              <w:rPr>
                <w:color w:val="000000"/>
                <w:lang w:val="lv-LV" w:eastAsia="lv-LV"/>
              </w:rPr>
            </w:pPr>
            <w:r w:rsidRPr="007A00FC">
              <w:rPr>
                <w:color w:val="000000"/>
                <w:lang w:val="lv-LV" w:eastAsia="lv-LV"/>
              </w:rPr>
              <w:t>K1</w:t>
            </w:r>
          </w:p>
        </w:tc>
        <w:tc>
          <w:tcPr>
            <w:tcW w:w="4273" w:type="dxa"/>
            <w:tcBorders>
              <w:top w:val="nil"/>
              <w:left w:val="nil"/>
              <w:bottom w:val="single" w:sz="4" w:space="0" w:color="auto"/>
              <w:right w:val="single" w:sz="4" w:space="0" w:color="auto"/>
            </w:tcBorders>
            <w:shd w:val="clear" w:color="auto" w:fill="auto"/>
            <w:noWrap/>
            <w:vAlign w:val="bottom"/>
            <w:hideMark/>
          </w:tcPr>
          <w:p w:rsidR="007A00FC" w:rsidRPr="007A00FC" w:rsidRDefault="007A00FC" w:rsidP="00960CC4">
            <w:pPr>
              <w:rPr>
                <w:color w:val="000000"/>
                <w:lang w:val="lv-LV" w:eastAsia="lv-LV"/>
              </w:rPr>
            </w:pPr>
            <w:r w:rsidRPr="007A00FC">
              <w:rPr>
                <w:color w:val="000000"/>
                <w:lang w:val="lv-LV" w:eastAsia="lv-LV"/>
              </w:rPr>
              <w:t xml:space="preserve">Piedāvātā līgumcena EUR (bez PVN) </w:t>
            </w:r>
          </w:p>
        </w:tc>
        <w:tc>
          <w:tcPr>
            <w:tcW w:w="2977" w:type="dxa"/>
            <w:tcBorders>
              <w:top w:val="nil"/>
              <w:left w:val="nil"/>
              <w:bottom w:val="single" w:sz="4" w:space="0" w:color="auto"/>
              <w:right w:val="single" w:sz="4" w:space="0" w:color="auto"/>
            </w:tcBorders>
            <w:shd w:val="clear" w:color="auto" w:fill="auto"/>
            <w:noWrap/>
            <w:vAlign w:val="bottom"/>
            <w:hideMark/>
          </w:tcPr>
          <w:p w:rsidR="007A00FC" w:rsidRPr="007A00FC" w:rsidRDefault="007A00FC" w:rsidP="00960CC4">
            <w:pPr>
              <w:jc w:val="center"/>
              <w:rPr>
                <w:color w:val="000000"/>
                <w:lang w:val="lv-LV" w:eastAsia="lv-LV"/>
              </w:rPr>
            </w:pPr>
            <w:r w:rsidRPr="007A00FC">
              <w:rPr>
                <w:color w:val="000000"/>
                <w:lang w:val="lv-LV" w:eastAsia="lv-LV"/>
              </w:rPr>
              <w:t>40</w:t>
            </w:r>
          </w:p>
        </w:tc>
      </w:tr>
      <w:tr w:rsidR="007A00FC" w:rsidRPr="007A00FC" w:rsidTr="00960CC4">
        <w:trPr>
          <w:trHeight w:val="315"/>
          <w:jc w:val="center"/>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7A00FC" w:rsidRPr="007A00FC" w:rsidRDefault="007A00FC" w:rsidP="00960CC4">
            <w:pPr>
              <w:jc w:val="center"/>
              <w:rPr>
                <w:color w:val="000000"/>
                <w:lang w:val="lv-LV" w:eastAsia="lv-LV"/>
              </w:rPr>
            </w:pPr>
            <w:r w:rsidRPr="007A00FC">
              <w:rPr>
                <w:color w:val="000000"/>
                <w:lang w:val="lv-LV" w:eastAsia="lv-LV"/>
              </w:rPr>
              <w:t>K2</w:t>
            </w:r>
          </w:p>
        </w:tc>
        <w:tc>
          <w:tcPr>
            <w:tcW w:w="4273" w:type="dxa"/>
            <w:tcBorders>
              <w:top w:val="nil"/>
              <w:left w:val="nil"/>
              <w:bottom w:val="single" w:sz="4" w:space="0" w:color="auto"/>
              <w:right w:val="single" w:sz="4" w:space="0" w:color="auto"/>
            </w:tcBorders>
            <w:shd w:val="clear" w:color="auto" w:fill="auto"/>
            <w:noWrap/>
            <w:vAlign w:val="center"/>
            <w:hideMark/>
          </w:tcPr>
          <w:p w:rsidR="007A00FC" w:rsidRPr="007A00FC" w:rsidRDefault="007A00FC" w:rsidP="00960CC4">
            <w:pPr>
              <w:rPr>
                <w:color w:val="000000"/>
                <w:lang w:val="lv-LV" w:eastAsia="lv-LV"/>
              </w:rPr>
            </w:pPr>
            <w:r w:rsidRPr="007A00FC">
              <w:rPr>
                <w:color w:val="000000"/>
                <w:lang w:val="lv-LV" w:eastAsia="lv-LV"/>
              </w:rPr>
              <w:t>Piedāvātais garantijas laiks Precei</w:t>
            </w:r>
          </w:p>
        </w:tc>
        <w:tc>
          <w:tcPr>
            <w:tcW w:w="2977" w:type="dxa"/>
            <w:tcBorders>
              <w:top w:val="nil"/>
              <w:left w:val="nil"/>
              <w:bottom w:val="single" w:sz="4" w:space="0" w:color="auto"/>
              <w:right w:val="single" w:sz="4" w:space="0" w:color="auto"/>
            </w:tcBorders>
            <w:shd w:val="clear" w:color="auto" w:fill="auto"/>
            <w:noWrap/>
            <w:vAlign w:val="bottom"/>
            <w:hideMark/>
          </w:tcPr>
          <w:p w:rsidR="007A00FC" w:rsidRPr="007A00FC" w:rsidRDefault="007A00FC" w:rsidP="00960CC4">
            <w:pPr>
              <w:jc w:val="center"/>
              <w:rPr>
                <w:color w:val="000000"/>
                <w:lang w:val="lv-LV" w:eastAsia="lv-LV"/>
              </w:rPr>
            </w:pPr>
            <w:r w:rsidRPr="007A00FC">
              <w:rPr>
                <w:color w:val="000000"/>
                <w:lang w:val="lv-LV" w:eastAsia="lv-LV"/>
              </w:rPr>
              <w:t>30</w:t>
            </w:r>
          </w:p>
        </w:tc>
      </w:tr>
      <w:tr w:rsidR="007A00FC" w:rsidRPr="007A00FC" w:rsidTr="00960CC4">
        <w:trPr>
          <w:trHeight w:val="315"/>
          <w:jc w:val="center"/>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7A00FC" w:rsidRPr="007A00FC" w:rsidRDefault="007A00FC" w:rsidP="00960CC4">
            <w:pPr>
              <w:jc w:val="center"/>
              <w:rPr>
                <w:color w:val="000000"/>
                <w:lang w:val="lv-LV" w:eastAsia="lv-LV"/>
              </w:rPr>
            </w:pPr>
            <w:r w:rsidRPr="007A00FC">
              <w:rPr>
                <w:color w:val="000000"/>
                <w:lang w:val="lv-LV" w:eastAsia="lv-LV"/>
              </w:rPr>
              <w:t>K3</w:t>
            </w:r>
          </w:p>
          <w:p w:rsidR="007A00FC" w:rsidRPr="007A00FC" w:rsidRDefault="007A00FC" w:rsidP="00960CC4">
            <w:pPr>
              <w:jc w:val="center"/>
              <w:rPr>
                <w:color w:val="000000"/>
                <w:lang w:val="lv-LV" w:eastAsia="lv-LV"/>
              </w:rPr>
            </w:pPr>
          </w:p>
        </w:tc>
        <w:tc>
          <w:tcPr>
            <w:tcW w:w="4273" w:type="dxa"/>
            <w:tcBorders>
              <w:top w:val="nil"/>
              <w:left w:val="nil"/>
              <w:bottom w:val="single" w:sz="4" w:space="0" w:color="auto"/>
              <w:right w:val="single" w:sz="4" w:space="0" w:color="auto"/>
            </w:tcBorders>
            <w:shd w:val="clear" w:color="auto" w:fill="auto"/>
            <w:noWrap/>
            <w:vAlign w:val="bottom"/>
            <w:hideMark/>
          </w:tcPr>
          <w:p w:rsidR="007A00FC" w:rsidRPr="007A00FC" w:rsidRDefault="007A00FC" w:rsidP="00960CC4">
            <w:pPr>
              <w:rPr>
                <w:color w:val="000000"/>
                <w:lang w:val="lv-LV" w:eastAsia="lv-LV"/>
              </w:rPr>
            </w:pPr>
            <w:r w:rsidRPr="007A00FC">
              <w:rPr>
                <w:color w:val="000000"/>
                <w:lang w:val="lv-LV" w:eastAsia="lv-LV"/>
              </w:rPr>
              <w:t>Čillera īpatnējās energoefektivitātes koeficients (EER)</w:t>
            </w:r>
          </w:p>
        </w:tc>
        <w:tc>
          <w:tcPr>
            <w:tcW w:w="2977" w:type="dxa"/>
            <w:tcBorders>
              <w:top w:val="nil"/>
              <w:left w:val="nil"/>
              <w:bottom w:val="single" w:sz="4" w:space="0" w:color="auto"/>
              <w:right w:val="single" w:sz="4" w:space="0" w:color="auto"/>
            </w:tcBorders>
            <w:shd w:val="clear" w:color="auto" w:fill="auto"/>
            <w:noWrap/>
            <w:vAlign w:val="bottom"/>
            <w:hideMark/>
          </w:tcPr>
          <w:p w:rsidR="007A00FC" w:rsidRPr="007A00FC" w:rsidRDefault="007A00FC" w:rsidP="00960CC4">
            <w:pPr>
              <w:jc w:val="center"/>
              <w:rPr>
                <w:color w:val="000000"/>
                <w:lang w:val="lv-LV" w:eastAsia="lv-LV"/>
              </w:rPr>
            </w:pPr>
            <w:r w:rsidRPr="007A00FC">
              <w:rPr>
                <w:color w:val="000000"/>
                <w:lang w:val="lv-LV" w:eastAsia="lv-LV"/>
              </w:rPr>
              <w:t>30</w:t>
            </w:r>
          </w:p>
          <w:p w:rsidR="007A00FC" w:rsidRPr="007A00FC" w:rsidRDefault="007A00FC" w:rsidP="00960CC4">
            <w:pPr>
              <w:jc w:val="center"/>
              <w:rPr>
                <w:color w:val="000000"/>
                <w:lang w:val="lv-LV" w:eastAsia="lv-LV"/>
              </w:rPr>
            </w:pPr>
          </w:p>
        </w:tc>
      </w:tr>
      <w:tr w:rsidR="007A00FC" w:rsidRPr="007A00FC" w:rsidTr="00960CC4">
        <w:trPr>
          <w:trHeight w:val="315"/>
          <w:jc w:val="center"/>
        </w:trPr>
        <w:tc>
          <w:tcPr>
            <w:tcW w:w="53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0FC" w:rsidRPr="007A00FC" w:rsidRDefault="007A00FC" w:rsidP="00960CC4">
            <w:pPr>
              <w:jc w:val="right"/>
              <w:rPr>
                <w:b/>
                <w:bCs/>
                <w:color w:val="000000"/>
                <w:lang w:val="lv-LV" w:eastAsia="lv-LV"/>
              </w:rPr>
            </w:pPr>
            <w:r w:rsidRPr="007A00FC">
              <w:rPr>
                <w:b/>
                <w:bCs/>
                <w:color w:val="000000"/>
                <w:lang w:val="lv-LV" w:eastAsia="lv-LV"/>
              </w:rPr>
              <w:t>Kopā maksimāli iegūstamais punktu skaits (K</w:t>
            </w:r>
            <w:r w:rsidRPr="007A00FC">
              <w:rPr>
                <w:b/>
                <w:bCs/>
                <w:color w:val="000000"/>
                <w:vertAlign w:val="subscript"/>
                <w:lang w:val="lv-LV" w:eastAsia="lv-LV"/>
              </w:rPr>
              <w:t>K</w:t>
            </w:r>
            <w:r w:rsidRPr="007A00FC">
              <w:rPr>
                <w:b/>
                <w:bCs/>
                <w:color w:val="000000"/>
                <w:lang w:val="lv-LV" w:eastAsia="lv-LV"/>
              </w:rPr>
              <w:t>):</w:t>
            </w:r>
          </w:p>
        </w:tc>
        <w:tc>
          <w:tcPr>
            <w:tcW w:w="2977" w:type="dxa"/>
            <w:tcBorders>
              <w:top w:val="nil"/>
              <w:left w:val="nil"/>
              <w:bottom w:val="single" w:sz="4" w:space="0" w:color="auto"/>
              <w:right w:val="single" w:sz="4" w:space="0" w:color="auto"/>
            </w:tcBorders>
            <w:shd w:val="clear" w:color="auto" w:fill="auto"/>
            <w:noWrap/>
            <w:vAlign w:val="bottom"/>
            <w:hideMark/>
          </w:tcPr>
          <w:p w:rsidR="007A00FC" w:rsidRPr="007A00FC" w:rsidRDefault="007A00FC" w:rsidP="00960CC4">
            <w:pPr>
              <w:jc w:val="center"/>
              <w:rPr>
                <w:b/>
                <w:bCs/>
                <w:color w:val="000000"/>
                <w:lang w:val="lv-LV" w:eastAsia="lv-LV"/>
              </w:rPr>
            </w:pPr>
            <w:r w:rsidRPr="007A00FC">
              <w:rPr>
                <w:b/>
                <w:bCs/>
                <w:color w:val="000000"/>
                <w:lang w:val="lv-LV" w:eastAsia="lv-LV"/>
              </w:rPr>
              <w:t>100</w:t>
            </w:r>
          </w:p>
        </w:tc>
      </w:tr>
    </w:tbl>
    <w:p w:rsidR="007A00FC" w:rsidRPr="007A00FC" w:rsidRDefault="007A00FC" w:rsidP="007A00FC">
      <w:pPr>
        <w:pStyle w:val="NoSpacing"/>
        <w:rPr>
          <w:sz w:val="24"/>
          <w:szCs w:val="24"/>
        </w:rPr>
      </w:pPr>
    </w:p>
    <w:p w:rsidR="007A00FC" w:rsidRPr="007F25EA" w:rsidRDefault="007A00FC" w:rsidP="007A00FC">
      <w:pPr>
        <w:pStyle w:val="NoSpacing"/>
        <w:numPr>
          <w:ilvl w:val="0"/>
          <w:numId w:val="15"/>
        </w:numPr>
        <w:rPr>
          <w:sz w:val="24"/>
          <w:szCs w:val="24"/>
        </w:rPr>
      </w:pPr>
      <w:r>
        <w:rPr>
          <w:sz w:val="24"/>
          <w:szCs w:val="24"/>
        </w:rPr>
        <w:t xml:space="preserve">Kopējo pretendenta saņemto punktu skaitu Komisija aprēķina izmantojot sekojošu formulu: </w:t>
      </w:r>
      <w:r>
        <w:rPr>
          <w:b/>
          <w:sz w:val="24"/>
          <w:szCs w:val="24"/>
        </w:rPr>
        <w:t>K</w:t>
      </w:r>
      <w:r>
        <w:rPr>
          <w:b/>
          <w:sz w:val="24"/>
          <w:szCs w:val="24"/>
          <w:vertAlign w:val="subscript"/>
        </w:rPr>
        <w:t>K</w:t>
      </w:r>
      <w:r>
        <w:rPr>
          <w:b/>
          <w:sz w:val="24"/>
          <w:szCs w:val="24"/>
        </w:rPr>
        <w:t xml:space="preserve"> = K1+K2+K3.</w:t>
      </w:r>
    </w:p>
    <w:p w:rsidR="007A00FC" w:rsidRDefault="007A00FC" w:rsidP="007A00FC">
      <w:pPr>
        <w:pStyle w:val="NoSpacing"/>
        <w:jc w:val="both"/>
        <w:rPr>
          <w:sz w:val="24"/>
          <w:szCs w:val="24"/>
        </w:rPr>
      </w:pPr>
    </w:p>
    <w:p w:rsidR="007A00FC" w:rsidRPr="00B97CD4" w:rsidRDefault="007A00FC" w:rsidP="007A00FC">
      <w:pPr>
        <w:pStyle w:val="NoSpacing"/>
        <w:numPr>
          <w:ilvl w:val="0"/>
          <w:numId w:val="15"/>
        </w:numPr>
        <w:rPr>
          <w:sz w:val="24"/>
          <w:szCs w:val="24"/>
        </w:rPr>
      </w:pPr>
      <w:r>
        <w:rPr>
          <w:sz w:val="24"/>
          <w:szCs w:val="24"/>
        </w:rPr>
        <w:t>Punktus par vērtēšanas kritēriju K1 piešķir:</w:t>
      </w:r>
    </w:p>
    <w:tbl>
      <w:tblPr>
        <w:tblStyle w:val="TableGrid1"/>
        <w:tblW w:w="7938" w:type="dxa"/>
        <w:jc w:val="center"/>
        <w:tblLook w:val="04A0" w:firstRow="1" w:lastRow="0" w:firstColumn="1" w:lastColumn="0" w:noHBand="0" w:noVBand="1"/>
      </w:tblPr>
      <w:tblGrid>
        <w:gridCol w:w="709"/>
        <w:gridCol w:w="7229"/>
      </w:tblGrid>
      <w:tr w:rsidR="007A00FC" w:rsidRPr="00865B24" w:rsidTr="00960CC4">
        <w:trPr>
          <w:jc w:val="center"/>
        </w:trPr>
        <w:tc>
          <w:tcPr>
            <w:tcW w:w="709" w:type="dxa"/>
            <w:vMerge w:val="restart"/>
          </w:tcPr>
          <w:p w:rsidR="007A00FC" w:rsidRPr="00865B24" w:rsidRDefault="007A00FC" w:rsidP="00960CC4">
            <w:pPr>
              <w:pStyle w:val="NoSpacing"/>
              <w:jc w:val="center"/>
              <w:rPr>
                <w:b/>
                <w:sz w:val="24"/>
                <w:szCs w:val="24"/>
                <w:lang w:val="lv-LV" w:eastAsia="lv-LV"/>
              </w:rPr>
            </w:pPr>
            <w:r>
              <w:rPr>
                <w:b/>
                <w:sz w:val="24"/>
                <w:szCs w:val="24"/>
                <w:lang w:val="lv-LV" w:eastAsia="lv-LV"/>
              </w:rPr>
              <w:t>K1</w:t>
            </w:r>
          </w:p>
        </w:tc>
        <w:tc>
          <w:tcPr>
            <w:tcW w:w="7229" w:type="dxa"/>
          </w:tcPr>
          <w:p w:rsidR="007A00FC" w:rsidRPr="00865B24" w:rsidRDefault="007A00FC" w:rsidP="00960CC4">
            <w:pPr>
              <w:pStyle w:val="NoSpacing"/>
              <w:rPr>
                <w:b/>
                <w:sz w:val="24"/>
                <w:szCs w:val="24"/>
                <w:lang w:val="lv-LV" w:eastAsia="lv-LV"/>
              </w:rPr>
            </w:pPr>
            <w:r w:rsidRPr="009D28C4">
              <w:rPr>
                <w:b/>
                <w:sz w:val="24"/>
                <w:szCs w:val="24"/>
                <w:lang w:val="lv-LV" w:eastAsia="lv-LV"/>
              </w:rPr>
              <w:t>Piedāvātā līgumcena EUR (bez PVN)</w:t>
            </w:r>
          </w:p>
        </w:tc>
      </w:tr>
      <w:tr w:rsidR="007A00FC" w:rsidRPr="00246AD3" w:rsidTr="00960CC4">
        <w:trPr>
          <w:jc w:val="center"/>
        </w:trPr>
        <w:tc>
          <w:tcPr>
            <w:tcW w:w="709" w:type="dxa"/>
            <w:vMerge/>
          </w:tcPr>
          <w:p w:rsidR="007A00FC" w:rsidRPr="00865B24" w:rsidRDefault="007A00FC" w:rsidP="00960CC4">
            <w:pPr>
              <w:pStyle w:val="NoSpacing"/>
              <w:rPr>
                <w:sz w:val="24"/>
                <w:szCs w:val="24"/>
                <w:lang w:val="lv-LV" w:eastAsia="lv-LV"/>
              </w:rPr>
            </w:pPr>
          </w:p>
        </w:tc>
        <w:tc>
          <w:tcPr>
            <w:tcW w:w="7229" w:type="dxa"/>
          </w:tcPr>
          <w:p w:rsidR="007A00FC" w:rsidRPr="00EB34F8" w:rsidRDefault="007A00FC" w:rsidP="00960CC4">
            <w:pPr>
              <w:pStyle w:val="NoSpacing"/>
              <w:jc w:val="center"/>
              <w:rPr>
                <w:sz w:val="24"/>
                <w:szCs w:val="24"/>
                <w:lang w:val="lv-LV"/>
              </w:rPr>
            </w:pPr>
            <w:r>
              <w:rPr>
                <w:b/>
                <w:sz w:val="24"/>
                <w:szCs w:val="24"/>
              </w:rPr>
              <w:t>K1</w:t>
            </w:r>
            <w:r w:rsidRPr="00865B24">
              <w:rPr>
                <w:b/>
                <w:sz w:val="24"/>
                <w:szCs w:val="24"/>
              </w:rPr>
              <w:t xml:space="preserve"> = </w:t>
            </w:r>
            <w:r w:rsidRPr="001C4D30">
              <w:rPr>
                <w:b/>
                <w:sz w:val="24"/>
                <w:szCs w:val="24"/>
              </w:rPr>
              <w:t>Maks. x (A</w:t>
            </w:r>
            <w:r w:rsidRPr="001C4D30">
              <w:rPr>
                <w:b/>
                <w:sz w:val="24"/>
                <w:szCs w:val="24"/>
                <w:vertAlign w:val="subscript"/>
              </w:rPr>
              <w:t>x</w:t>
            </w:r>
            <w:r>
              <w:rPr>
                <w:b/>
                <w:sz w:val="24"/>
                <w:szCs w:val="24"/>
              </w:rPr>
              <w:t>/</w:t>
            </w:r>
            <w:r w:rsidRPr="001C4D30">
              <w:rPr>
                <w:b/>
                <w:sz w:val="24"/>
                <w:szCs w:val="24"/>
              </w:rPr>
              <w:t>A</w:t>
            </w:r>
            <w:r w:rsidRPr="001C4D30">
              <w:rPr>
                <w:b/>
                <w:sz w:val="24"/>
                <w:szCs w:val="24"/>
                <w:vertAlign w:val="subscript"/>
              </w:rPr>
              <w:t>y</w:t>
            </w:r>
            <w:r w:rsidRPr="001C4D30">
              <w:rPr>
                <w:b/>
                <w:sz w:val="24"/>
                <w:szCs w:val="24"/>
              </w:rPr>
              <w:t>)</w:t>
            </w:r>
            <w:r w:rsidRPr="00ED5142">
              <w:rPr>
                <w:sz w:val="24"/>
                <w:szCs w:val="24"/>
              </w:rPr>
              <w:t xml:space="preserve">, </w:t>
            </w:r>
            <w:r w:rsidRPr="00EB34F8">
              <w:rPr>
                <w:sz w:val="24"/>
                <w:szCs w:val="24"/>
                <w:lang w:val="lv-LV"/>
              </w:rPr>
              <w:t>kur</w:t>
            </w:r>
          </w:p>
          <w:p w:rsidR="007A00FC" w:rsidRPr="002464E1" w:rsidRDefault="007A00FC" w:rsidP="00960CC4">
            <w:pPr>
              <w:pStyle w:val="NoSpacing"/>
              <w:rPr>
                <w:sz w:val="22"/>
                <w:szCs w:val="22"/>
                <w:lang w:val="lv-LV"/>
              </w:rPr>
            </w:pPr>
            <w:r w:rsidRPr="002464E1">
              <w:rPr>
                <w:sz w:val="22"/>
                <w:szCs w:val="22"/>
                <w:lang w:val="lv-LV"/>
              </w:rPr>
              <w:t>K1 – pretendenta iegūtais punktu skaits par pirmo vērtēšanas kritēriju;</w:t>
            </w:r>
          </w:p>
          <w:p w:rsidR="007A00FC" w:rsidRPr="002464E1" w:rsidRDefault="007A00FC" w:rsidP="00960CC4">
            <w:pPr>
              <w:pStyle w:val="NoSpacing"/>
              <w:rPr>
                <w:sz w:val="22"/>
                <w:szCs w:val="22"/>
                <w:lang w:val="lv-LV"/>
              </w:rPr>
            </w:pPr>
            <w:r w:rsidRPr="002464E1">
              <w:rPr>
                <w:sz w:val="22"/>
                <w:szCs w:val="22"/>
                <w:lang w:val="lv-LV"/>
              </w:rPr>
              <w:t>Maks. – par piedāvāto zemāko cenu maksimālais iegūstamais punktu skaits;</w:t>
            </w:r>
          </w:p>
          <w:p w:rsidR="007A00FC" w:rsidRPr="002464E1" w:rsidRDefault="007A00FC" w:rsidP="00960CC4">
            <w:pPr>
              <w:pStyle w:val="NoSpacing"/>
              <w:rPr>
                <w:sz w:val="22"/>
                <w:szCs w:val="22"/>
                <w:lang w:val="lv-LV"/>
              </w:rPr>
            </w:pPr>
            <w:r w:rsidRPr="002464E1">
              <w:rPr>
                <w:sz w:val="22"/>
                <w:szCs w:val="22"/>
                <w:lang w:val="lv-LV"/>
              </w:rPr>
              <w:t>A</w:t>
            </w:r>
            <w:r w:rsidRPr="002464E1">
              <w:rPr>
                <w:sz w:val="22"/>
                <w:szCs w:val="22"/>
                <w:vertAlign w:val="subscript"/>
                <w:lang w:val="lv-LV"/>
              </w:rPr>
              <w:t>x</w:t>
            </w:r>
            <w:r w:rsidRPr="002464E1">
              <w:rPr>
                <w:sz w:val="22"/>
                <w:szCs w:val="22"/>
                <w:lang w:val="lv-LV"/>
              </w:rPr>
              <w:t xml:space="preserve"> – iepirkumā piedāvātā zemākā cena (EUR bez PVN);</w:t>
            </w:r>
          </w:p>
          <w:p w:rsidR="007A00FC" w:rsidRPr="00D3257E" w:rsidRDefault="007A00FC" w:rsidP="00960CC4">
            <w:pPr>
              <w:pStyle w:val="NoSpacing"/>
            </w:pPr>
            <w:r w:rsidRPr="002464E1">
              <w:rPr>
                <w:sz w:val="22"/>
                <w:szCs w:val="22"/>
                <w:lang w:val="lv-LV"/>
              </w:rPr>
              <w:t>A</w:t>
            </w:r>
            <w:r w:rsidRPr="002464E1">
              <w:rPr>
                <w:sz w:val="22"/>
                <w:szCs w:val="22"/>
                <w:vertAlign w:val="subscript"/>
                <w:lang w:val="lv-LV"/>
              </w:rPr>
              <w:t>y</w:t>
            </w:r>
            <w:r w:rsidRPr="002464E1">
              <w:rPr>
                <w:sz w:val="22"/>
                <w:szCs w:val="22"/>
                <w:lang w:val="lv-LV"/>
              </w:rPr>
              <w:t xml:space="preserve"> – vērtējamā pretendenta piedāvājuma cena (EUR bez PVN).</w:t>
            </w:r>
          </w:p>
        </w:tc>
      </w:tr>
    </w:tbl>
    <w:p w:rsidR="007A00FC" w:rsidRDefault="007A00FC" w:rsidP="007A00FC">
      <w:pPr>
        <w:pStyle w:val="NoSpacing"/>
        <w:jc w:val="both"/>
        <w:rPr>
          <w:sz w:val="24"/>
          <w:szCs w:val="24"/>
        </w:rPr>
      </w:pPr>
    </w:p>
    <w:p w:rsidR="007A00FC" w:rsidRPr="00B97CD4" w:rsidRDefault="007A00FC" w:rsidP="007A00FC">
      <w:pPr>
        <w:pStyle w:val="NoSpacing"/>
        <w:numPr>
          <w:ilvl w:val="0"/>
          <w:numId w:val="15"/>
        </w:numPr>
        <w:rPr>
          <w:sz w:val="24"/>
          <w:szCs w:val="24"/>
        </w:rPr>
      </w:pPr>
      <w:r>
        <w:rPr>
          <w:sz w:val="24"/>
          <w:szCs w:val="24"/>
        </w:rPr>
        <w:t>Punktus par vērtēšanas kritēriju K2 piešķir:</w:t>
      </w:r>
    </w:p>
    <w:tbl>
      <w:tblPr>
        <w:tblStyle w:val="TableGrid1"/>
        <w:tblW w:w="7938" w:type="dxa"/>
        <w:jc w:val="center"/>
        <w:tblLook w:val="04A0" w:firstRow="1" w:lastRow="0" w:firstColumn="1" w:lastColumn="0" w:noHBand="0" w:noVBand="1"/>
      </w:tblPr>
      <w:tblGrid>
        <w:gridCol w:w="709"/>
        <w:gridCol w:w="7229"/>
      </w:tblGrid>
      <w:tr w:rsidR="007A00FC" w:rsidRPr="00246AD3" w:rsidTr="00960CC4">
        <w:trPr>
          <w:jc w:val="center"/>
        </w:trPr>
        <w:tc>
          <w:tcPr>
            <w:tcW w:w="709" w:type="dxa"/>
            <w:vMerge w:val="restart"/>
          </w:tcPr>
          <w:p w:rsidR="007A00FC" w:rsidRPr="00565E84" w:rsidRDefault="007A00FC" w:rsidP="00960CC4">
            <w:pPr>
              <w:pStyle w:val="NoSpacing"/>
              <w:jc w:val="center"/>
              <w:rPr>
                <w:b/>
                <w:sz w:val="24"/>
                <w:szCs w:val="24"/>
                <w:lang w:val="lv-LV" w:eastAsia="lv-LV"/>
              </w:rPr>
            </w:pPr>
            <w:r w:rsidRPr="00565E84">
              <w:rPr>
                <w:b/>
                <w:sz w:val="24"/>
                <w:szCs w:val="24"/>
                <w:lang w:val="lv-LV" w:eastAsia="lv-LV"/>
              </w:rPr>
              <w:t>K2</w:t>
            </w:r>
          </w:p>
        </w:tc>
        <w:tc>
          <w:tcPr>
            <w:tcW w:w="7229" w:type="dxa"/>
          </w:tcPr>
          <w:p w:rsidR="007A00FC" w:rsidRPr="00B97CD4" w:rsidRDefault="007A00FC" w:rsidP="00960CC4">
            <w:pPr>
              <w:pStyle w:val="NoSpacing"/>
              <w:rPr>
                <w:b/>
                <w:sz w:val="24"/>
                <w:szCs w:val="24"/>
                <w:lang w:val="lv-LV" w:eastAsia="lv-LV"/>
              </w:rPr>
            </w:pPr>
            <w:r>
              <w:rPr>
                <w:b/>
                <w:sz w:val="24"/>
                <w:szCs w:val="24"/>
                <w:lang w:val="lv-LV" w:eastAsia="lv-LV"/>
              </w:rPr>
              <w:t xml:space="preserve">Piedāvātais garantijas laiks </w:t>
            </w:r>
            <w:r w:rsidRPr="004930E7">
              <w:rPr>
                <w:b/>
                <w:sz w:val="24"/>
                <w:szCs w:val="24"/>
                <w:u w:val="single"/>
                <w:lang w:val="lv-LV" w:eastAsia="lv-LV"/>
              </w:rPr>
              <w:t>Precei</w:t>
            </w:r>
          </w:p>
        </w:tc>
      </w:tr>
      <w:tr w:rsidR="007A00FC" w:rsidRPr="00865B24" w:rsidTr="00960CC4">
        <w:trPr>
          <w:jc w:val="center"/>
        </w:trPr>
        <w:tc>
          <w:tcPr>
            <w:tcW w:w="709" w:type="dxa"/>
            <w:vMerge/>
          </w:tcPr>
          <w:p w:rsidR="007A00FC" w:rsidRPr="00246AD3" w:rsidRDefault="007A00FC" w:rsidP="00960CC4">
            <w:pPr>
              <w:pStyle w:val="NoSpacing"/>
              <w:rPr>
                <w:sz w:val="24"/>
                <w:szCs w:val="24"/>
                <w:lang w:val="lv-LV" w:eastAsia="lv-LV"/>
              </w:rPr>
            </w:pPr>
          </w:p>
        </w:tc>
        <w:tc>
          <w:tcPr>
            <w:tcW w:w="7229" w:type="dxa"/>
          </w:tcPr>
          <w:p w:rsidR="007A00FC" w:rsidRPr="00865B24" w:rsidRDefault="007A00FC" w:rsidP="00960CC4">
            <w:pPr>
              <w:suppressAutoHyphens/>
              <w:jc w:val="both"/>
              <w:rPr>
                <w:lang w:val="lv-LV" w:eastAsia="lv-LV"/>
              </w:rPr>
            </w:pPr>
            <w:r w:rsidRPr="00865B24">
              <w:rPr>
                <w:lang w:val="lv-LV" w:eastAsia="lv-LV"/>
              </w:rPr>
              <w:t>Garantijas laiks Precei – nedrīkst būt mazāks par 24 (divdesmit četriem) mēnešiem.</w:t>
            </w:r>
          </w:p>
          <w:p w:rsidR="007A00FC" w:rsidRPr="00865B24" w:rsidRDefault="007A00FC" w:rsidP="00960CC4">
            <w:pPr>
              <w:suppressAutoHyphens/>
              <w:jc w:val="both"/>
              <w:rPr>
                <w:lang w:val="lv-LV" w:eastAsia="lv-LV"/>
              </w:rPr>
            </w:pPr>
          </w:p>
          <w:p w:rsidR="007A00FC" w:rsidRPr="00865B24" w:rsidRDefault="007A00FC" w:rsidP="00960CC4">
            <w:pPr>
              <w:pStyle w:val="NoSpacing"/>
              <w:jc w:val="both"/>
              <w:rPr>
                <w:sz w:val="24"/>
                <w:szCs w:val="24"/>
                <w:lang w:val="lv-LV" w:eastAsia="lv-LV"/>
              </w:rPr>
            </w:pPr>
            <w:r w:rsidRPr="00865B24">
              <w:rPr>
                <w:b/>
                <w:sz w:val="24"/>
                <w:szCs w:val="24"/>
                <w:lang w:val="lv-LV" w:eastAsia="lv-LV"/>
              </w:rPr>
              <w:t>30 (trīsdesmit) punkti</w:t>
            </w:r>
            <w:r w:rsidRPr="00865B24">
              <w:rPr>
                <w:sz w:val="24"/>
                <w:szCs w:val="24"/>
                <w:lang w:val="lv-LV" w:eastAsia="lv-LV"/>
              </w:rPr>
              <w:t xml:space="preserve"> – 36 (trīsdesmit seši) mēneši.</w:t>
            </w:r>
          </w:p>
          <w:p w:rsidR="007A00FC" w:rsidRPr="00865B24" w:rsidRDefault="007A00FC" w:rsidP="00960CC4">
            <w:pPr>
              <w:pStyle w:val="NoSpacing"/>
              <w:jc w:val="both"/>
              <w:rPr>
                <w:sz w:val="24"/>
                <w:szCs w:val="24"/>
                <w:lang w:val="lv-LV" w:eastAsia="lv-LV"/>
              </w:rPr>
            </w:pPr>
          </w:p>
          <w:p w:rsidR="007A00FC" w:rsidRPr="00865B24" w:rsidRDefault="007A00FC" w:rsidP="00960CC4">
            <w:pPr>
              <w:pStyle w:val="NoSpacing"/>
              <w:rPr>
                <w:sz w:val="24"/>
                <w:szCs w:val="24"/>
                <w:lang w:val="lv-LV" w:eastAsia="lv-LV"/>
              </w:rPr>
            </w:pPr>
            <w:r w:rsidRPr="00865B24">
              <w:rPr>
                <w:b/>
                <w:sz w:val="24"/>
                <w:szCs w:val="24"/>
                <w:lang w:val="lv-LV" w:eastAsia="lv-LV"/>
              </w:rPr>
              <w:t>15 (piecpadsmit) punkti</w:t>
            </w:r>
            <w:r w:rsidRPr="00865B24">
              <w:rPr>
                <w:sz w:val="24"/>
                <w:szCs w:val="24"/>
                <w:lang w:val="lv-LV" w:eastAsia="lv-LV"/>
              </w:rPr>
              <w:t xml:space="preserve"> – 24 (divdesmit četri) mēneši.</w:t>
            </w:r>
          </w:p>
          <w:p w:rsidR="007A00FC" w:rsidRPr="00865B24" w:rsidRDefault="007A00FC" w:rsidP="00960CC4">
            <w:pPr>
              <w:pStyle w:val="NoSpacing"/>
              <w:rPr>
                <w:sz w:val="24"/>
                <w:szCs w:val="24"/>
                <w:lang w:val="lv-LV" w:eastAsia="lv-LV"/>
              </w:rPr>
            </w:pPr>
          </w:p>
          <w:p w:rsidR="007A00FC" w:rsidRPr="00865B24" w:rsidRDefault="007A00FC" w:rsidP="00960CC4">
            <w:pPr>
              <w:pStyle w:val="NoSpacing"/>
              <w:jc w:val="both"/>
              <w:rPr>
                <w:b/>
                <w:sz w:val="22"/>
                <w:szCs w:val="22"/>
                <w:lang w:val="lv-LV" w:eastAsia="lv-LV"/>
              </w:rPr>
            </w:pPr>
            <w:r w:rsidRPr="00865B24">
              <w:rPr>
                <w:sz w:val="24"/>
                <w:szCs w:val="24"/>
                <w:lang w:val="lv-LV" w:eastAsia="lv-LV"/>
              </w:rPr>
              <w:t>*</w:t>
            </w:r>
            <w:r w:rsidRPr="00865B24">
              <w:rPr>
                <w:sz w:val="22"/>
                <w:szCs w:val="22"/>
                <w:lang w:val="lv-LV" w:eastAsia="lv-LV"/>
              </w:rPr>
              <w:t xml:space="preserve">Ja pretendents piedāvās garantijas laiku Precei, kas būs lielāka par 36 (trīsdesmit sešiem) mēnešiem, vērtējums nebūs lielāks kā maksimālais punktu skaits, t.i., </w:t>
            </w:r>
            <w:r>
              <w:rPr>
                <w:sz w:val="22"/>
                <w:szCs w:val="22"/>
                <w:lang w:val="lv-LV" w:eastAsia="lv-LV"/>
              </w:rPr>
              <w:t>30</w:t>
            </w:r>
            <w:r w:rsidRPr="00865B24">
              <w:rPr>
                <w:sz w:val="22"/>
                <w:szCs w:val="22"/>
                <w:lang w:val="lv-LV" w:eastAsia="lv-LV"/>
              </w:rPr>
              <w:t xml:space="preserve"> punkti.</w:t>
            </w:r>
          </w:p>
        </w:tc>
      </w:tr>
    </w:tbl>
    <w:p w:rsidR="007A00FC" w:rsidRPr="00865B24" w:rsidRDefault="007A00FC" w:rsidP="007A00FC">
      <w:pPr>
        <w:pStyle w:val="NoSpacing"/>
        <w:rPr>
          <w:sz w:val="24"/>
          <w:szCs w:val="24"/>
        </w:rPr>
      </w:pPr>
    </w:p>
    <w:p w:rsidR="007A00FC" w:rsidRPr="00865B24" w:rsidRDefault="007A00FC" w:rsidP="007A00FC">
      <w:pPr>
        <w:pStyle w:val="NoSpacing"/>
        <w:numPr>
          <w:ilvl w:val="0"/>
          <w:numId w:val="15"/>
        </w:numPr>
        <w:rPr>
          <w:sz w:val="24"/>
          <w:szCs w:val="24"/>
        </w:rPr>
      </w:pPr>
      <w:r w:rsidRPr="00865B24">
        <w:rPr>
          <w:sz w:val="24"/>
          <w:szCs w:val="24"/>
        </w:rPr>
        <w:t>Punktus par vērtēšanas kritēriju K3 piešķir:</w:t>
      </w:r>
    </w:p>
    <w:tbl>
      <w:tblPr>
        <w:tblStyle w:val="TableGrid1"/>
        <w:tblW w:w="7938" w:type="dxa"/>
        <w:jc w:val="center"/>
        <w:tblLook w:val="04A0" w:firstRow="1" w:lastRow="0" w:firstColumn="1" w:lastColumn="0" w:noHBand="0" w:noVBand="1"/>
      </w:tblPr>
      <w:tblGrid>
        <w:gridCol w:w="709"/>
        <w:gridCol w:w="7229"/>
      </w:tblGrid>
      <w:tr w:rsidR="007A00FC" w:rsidRPr="00865B24" w:rsidTr="00960CC4">
        <w:trPr>
          <w:jc w:val="center"/>
        </w:trPr>
        <w:tc>
          <w:tcPr>
            <w:tcW w:w="709" w:type="dxa"/>
            <w:vMerge w:val="restart"/>
          </w:tcPr>
          <w:p w:rsidR="007A00FC" w:rsidRPr="00865B24" w:rsidRDefault="007A00FC" w:rsidP="00960CC4">
            <w:pPr>
              <w:pStyle w:val="NoSpacing"/>
              <w:jc w:val="center"/>
              <w:rPr>
                <w:b/>
                <w:sz w:val="24"/>
                <w:szCs w:val="24"/>
                <w:lang w:val="lv-LV" w:eastAsia="lv-LV"/>
              </w:rPr>
            </w:pPr>
            <w:r w:rsidRPr="00865B24">
              <w:rPr>
                <w:b/>
                <w:sz w:val="24"/>
                <w:szCs w:val="24"/>
                <w:lang w:val="lv-LV" w:eastAsia="lv-LV"/>
              </w:rPr>
              <w:t>K3</w:t>
            </w:r>
          </w:p>
        </w:tc>
        <w:tc>
          <w:tcPr>
            <w:tcW w:w="7229" w:type="dxa"/>
          </w:tcPr>
          <w:p w:rsidR="007A00FC" w:rsidRPr="00865B24" w:rsidRDefault="007A00FC" w:rsidP="00960CC4">
            <w:pPr>
              <w:pStyle w:val="NoSpacing"/>
              <w:rPr>
                <w:b/>
                <w:sz w:val="24"/>
                <w:szCs w:val="24"/>
                <w:lang w:val="lv-LV" w:eastAsia="lv-LV"/>
              </w:rPr>
            </w:pPr>
            <w:r w:rsidRPr="00865B24">
              <w:rPr>
                <w:b/>
                <w:sz w:val="24"/>
                <w:szCs w:val="24"/>
                <w:lang w:val="lv-LV" w:eastAsia="lv-LV"/>
              </w:rPr>
              <w:t>Čillera īpatnējās energoefektivitātes koeficients (EER)</w:t>
            </w:r>
          </w:p>
        </w:tc>
      </w:tr>
      <w:tr w:rsidR="007A00FC" w:rsidRPr="00246AD3" w:rsidTr="00960CC4">
        <w:trPr>
          <w:jc w:val="center"/>
        </w:trPr>
        <w:tc>
          <w:tcPr>
            <w:tcW w:w="709" w:type="dxa"/>
            <w:vMerge/>
          </w:tcPr>
          <w:p w:rsidR="007A00FC" w:rsidRPr="00865B24" w:rsidRDefault="007A00FC" w:rsidP="00960CC4">
            <w:pPr>
              <w:pStyle w:val="NoSpacing"/>
              <w:rPr>
                <w:sz w:val="24"/>
                <w:szCs w:val="24"/>
                <w:lang w:val="lv-LV" w:eastAsia="lv-LV"/>
              </w:rPr>
            </w:pPr>
          </w:p>
        </w:tc>
        <w:tc>
          <w:tcPr>
            <w:tcW w:w="7229" w:type="dxa"/>
          </w:tcPr>
          <w:p w:rsidR="007A00FC" w:rsidRPr="00865B24" w:rsidRDefault="007A00FC" w:rsidP="00960CC4">
            <w:pPr>
              <w:pStyle w:val="NoSpacing"/>
              <w:jc w:val="center"/>
              <w:rPr>
                <w:sz w:val="24"/>
                <w:szCs w:val="24"/>
                <w:lang w:val="lv-LV"/>
              </w:rPr>
            </w:pPr>
            <w:r w:rsidRPr="00865B24">
              <w:rPr>
                <w:b/>
                <w:sz w:val="24"/>
                <w:szCs w:val="24"/>
              </w:rPr>
              <w:t>K3 = Maks. x (EER</w:t>
            </w:r>
            <w:r w:rsidRPr="00865B24">
              <w:rPr>
                <w:b/>
                <w:sz w:val="24"/>
                <w:szCs w:val="24"/>
                <w:vertAlign w:val="subscript"/>
              </w:rPr>
              <w:t>x</w:t>
            </w:r>
            <w:r w:rsidRPr="00865B24">
              <w:rPr>
                <w:b/>
                <w:sz w:val="24"/>
                <w:szCs w:val="24"/>
              </w:rPr>
              <w:t>/EER</w:t>
            </w:r>
            <w:r w:rsidRPr="00865B24">
              <w:rPr>
                <w:b/>
                <w:sz w:val="24"/>
                <w:szCs w:val="24"/>
                <w:vertAlign w:val="subscript"/>
              </w:rPr>
              <w:t>y</w:t>
            </w:r>
            <w:r w:rsidRPr="00865B24">
              <w:rPr>
                <w:b/>
                <w:sz w:val="24"/>
                <w:szCs w:val="24"/>
              </w:rPr>
              <w:t>)</w:t>
            </w:r>
            <w:r w:rsidRPr="00865B24">
              <w:rPr>
                <w:sz w:val="24"/>
                <w:szCs w:val="24"/>
              </w:rPr>
              <w:t xml:space="preserve">, </w:t>
            </w:r>
            <w:r w:rsidRPr="00865B24">
              <w:rPr>
                <w:sz w:val="24"/>
                <w:szCs w:val="24"/>
                <w:lang w:val="lv-LV"/>
              </w:rPr>
              <w:t>kur</w:t>
            </w:r>
          </w:p>
          <w:p w:rsidR="007A00FC" w:rsidRPr="001509AF" w:rsidRDefault="007A00FC" w:rsidP="00960CC4">
            <w:pPr>
              <w:pStyle w:val="NoSpacing"/>
              <w:rPr>
                <w:sz w:val="22"/>
                <w:szCs w:val="22"/>
                <w:lang w:val="lv-LV" w:eastAsia="lv-LV"/>
              </w:rPr>
            </w:pPr>
            <w:r w:rsidRPr="001509AF">
              <w:rPr>
                <w:sz w:val="22"/>
                <w:szCs w:val="22"/>
                <w:lang w:val="lv-LV" w:eastAsia="lv-LV"/>
              </w:rPr>
              <w:t>K3 – pretendenta iegūtais punktu skaits par trešo vērtēšanas kritēriju;</w:t>
            </w:r>
          </w:p>
          <w:p w:rsidR="007A00FC" w:rsidRPr="001509AF" w:rsidRDefault="007A00FC" w:rsidP="00960CC4">
            <w:pPr>
              <w:pStyle w:val="NoSpacing"/>
              <w:rPr>
                <w:sz w:val="22"/>
                <w:szCs w:val="22"/>
                <w:lang w:val="lv-LV" w:eastAsia="lv-LV"/>
              </w:rPr>
            </w:pPr>
            <w:r w:rsidRPr="001509AF">
              <w:rPr>
                <w:sz w:val="22"/>
                <w:szCs w:val="22"/>
                <w:lang w:val="lv-LV" w:eastAsia="lv-LV"/>
              </w:rPr>
              <w:t>Maks. – par piedāvāto augstāko EER maksimālais iegūstamais punktu skaits;</w:t>
            </w:r>
          </w:p>
          <w:p w:rsidR="007A00FC" w:rsidRPr="001509AF" w:rsidRDefault="007A00FC" w:rsidP="00960CC4">
            <w:pPr>
              <w:pStyle w:val="NoSpacing"/>
              <w:rPr>
                <w:sz w:val="22"/>
                <w:szCs w:val="22"/>
                <w:lang w:val="lv-LV" w:eastAsia="lv-LV"/>
              </w:rPr>
            </w:pPr>
            <w:r w:rsidRPr="001509AF">
              <w:rPr>
                <w:sz w:val="22"/>
                <w:szCs w:val="22"/>
                <w:lang w:val="lv-LV" w:eastAsia="lv-LV"/>
              </w:rPr>
              <w:t>EER</w:t>
            </w:r>
            <w:r w:rsidRPr="00653BC4">
              <w:rPr>
                <w:sz w:val="22"/>
                <w:szCs w:val="22"/>
                <w:vertAlign w:val="subscript"/>
                <w:lang w:val="lv-LV" w:eastAsia="lv-LV"/>
              </w:rPr>
              <w:t xml:space="preserve">x </w:t>
            </w:r>
            <w:r w:rsidRPr="001509AF">
              <w:rPr>
                <w:sz w:val="22"/>
                <w:szCs w:val="22"/>
                <w:lang w:val="lv-LV" w:eastAsia="lv-LV"/>
              </w:rPr>
              <w:t>– vērtējamā pretendenta piedāvājumā norādītais EER;</w:t>
            </w:r>
          </w:p>
          <w:p w:rsidR="007A00FC" w:rsidRPr="00D3257E" w:rsidRDefault="007A00FC" w:rsidP="00960CC4">
            <w:pPr>
              <w:pStyle w:val="NoSpacing"/>
            </w:pPr>
            <w:r w:rsidRPr="001509AF">
              <w:rPr>
                <w:sz w:val="22"/>
                <w:szCs w:val="22"/>
                <w:lang w:val="lv-LV" w:eastAsia="lv-LV"/>
              </w:rPr>
              <w:t>EER</w:t>
            </w:r>
            <w:r w:rsidRPr="00653BC4">
              <w:rPr>
                <w:sz w:val="22"/>
                <w:szCs w:val="22"/>
                <w:vertAlign w:val="subscript"/>
                <w:lang w:val="lv-LV" w:eastAsia="lv-LV"/>
              </w:rPr>
              <w:t>y</w:t>
            </w:r>
            <w:r w:rsidRPr="001509AF">
              <w:rPr>
                <w:sz w:val="22"/>
                <w:szCs w:val="22"/>
                <w:lang w:val="lv-LV" w:eastAsia="lv-LV"/>
              </w:rPr>
              <w:t xml:space="preserve"> – iepirkumā piedāvātais augstākais EER.</w:t>
            </w:r>
          </w:p>
        </w:tc>
      </w:tr>
    </w:tbl>
    <w:p w:rsidR="007A00FC" w:rsidRDefault="007A00FC" w:rsidP="007A00FC">
      <w:pPr>
        <w:pStyle w:val="NoSpacing"/>
        <w:rPr>
          <w:sz w:val="24"/>
          <w:szCs w:val="24"/>
        </w:rPr>
      </w:pPr>
    </w:p>
    <w:p w:rsidR="007A00FC" w:rsidRPr="006325A3" w:rsidRDefault="007A00FC" w:rsidP="007A00FC">
      <w:pPr>
        <w:pStyle w:val="NoSpacing"/>
        <w:jc w:val="both"/>
        <w:rPr>
          <w:sz w:val="24"/>
          <w:szCs w:val="24"/>
        </w:rPr>
      </w:pPr>
      <w:r w:rsidRPr="0098251C">
        <w:rPr>
          <w:sz w:val="24"/>
          <w:szCs w:val="24"/>
        </w:rPr>
        <w:t xml:space="preserve">Ja pirms tam, kad pieņems lēmumu par iepirkuma līguma slēgšanas tiesību piešķiršanu, Komisija konstatēs, ka vismaz divu piedāvājumu novērtējums ir vienāds, kā izšķirošais piedāvājuma izvēles kritērijs tiek noteikts </w:t>
      </w:r>
      <w:r w:rsidRPr="006325A3">
        <w:rPr>
          <w:sz w:val="24"/>
          <w:szCs w:val="24"/>
        </w:rPr>
        <w:t xml:space="preserve">visvairāk iegūto punktu skaits par kritēriju K2 (Piedāvātais garantijas laiks Precei). </w:t>
      </w:r>
    </w:p>
    <w:p w:rsidR="007A00FC" w:rsidRPr="006325A3" w:rsidRDefault="007A00FC" w:rsidP="007A00FC">
      <w:pPr>
        <w:pStyle w:val="NoSpacing"/>
        <w:jc w:val="both"/>
        <w:rPr>
          <w:sz w:val="24"/>
          <w:szCs w:val="24"/>
        </w:rPr>
      </w:pPr>
    </w:p>
    <w:p w:rsidR="007A00FC" w:rsidRPr="0061381E" w:rsidRDefault="007A00FC" w:rsidP="007A00FC">
      <w:pPr>
        <w:pStyle w:val="NoSpacing"/>
        <w:jc w:val="both"/>
        <w:rPr>
          <w:sz w:val="24"/>
          <w:szCs w:val="24"/>
        </w:rPr>
      </w:pPr>
      <w:r w:rsidRPr="006325A3">
        <w:rPr>
          <w:sz w:val="24"/>
          <w:szCs w:val="24"/>
        </w:rPr>
        <w:t>Ja pretendenti par kritēriju K2 (Piedāvātais garantijas laiks Precei) ir saņēmuši vienādu punktu skaitu, tad kā nākošais izšķirošais piedāvājuma izvēles kritērijs tiek noteikts visvairāk iegūto punktu skaits par kritēriju K1 (</w:t>
      </w:r>
      <w:r w:rsidRPr="006325A3">
        <w:rPr>
          <w:color w:val="000000"/>
          <w:sz w:val="24"/>
          <w:szCs w:val="24"/>
          <w:lang w:eastAsia="lv-LV"/>
        </w:rPr>
        <w:t>Piedāvātā līgumcena EUR (bez PVN)</w:t>
      </w:r>
      <w:r w:rsidRPr="006325A3">
        <w:rPr>
          <w:sz w:val="24"/>
          <w:szCs w:val="24"/>
        </w:rPr>
        <w:t>).</w:t>
      </w:r>
    </w:p>
    <w:p w:rsidR="007A00FC" w:rsidRPr="008028AC" w:rsidRDefault="007A00FC" w:rsidP="008028AC">
      <w:pPr>
        <w:pStyle w:val="ListParagraph"/>
        <w:tabs>
          <w:tab w:val="left" w:pos="4253"/>
        </w:tabs>
        <w:jc w:val="both"/>
        <w:rPr>
          <w:lang w:val="lv-LV"/>
        </w:rPr>
      </w:pPr>
    </w:p>
    <w:p w:rsidR="00400E30" w:rsidRDefault="00400E30" w:rsidP="00576647">
      <w:pPr>
        <w:pStyle w:val="ListParagraph"/>
        <w:tabs>
          <w:tab w:val="left" w:pos="4253"/>
        </w:tabs>
        <w:jc w:val="both"/>
        <w:rPr>
          <w:highlight w:val="yellow"/>
          <w:lang w:val="lv-LV"/>
        </w:rPr>
      </w:pPr>
    </w:p>
    <w:p w:rsidR="00331058" w:rsidRDefault="00331058" w:rsidP="00576647">
      <w:pPr>
        <w:pStyle w:val="ListParagraph"/>
        <w:tabs>
          <w:tab w:val="left" w:pos="4253"/>
        </w:tabs>
        <w:jc w:val="both"/>
        <w:rPr>
          <w:highlight w:val="yellow"/>
          <w:lang w:val="lv-LV"/>
        </w:rPr>
      </w:pPr>
    </w:p>
    <w:p w:rsidR="00331058" w:rsidRPr="00F22B2F" w:rsidRDefault="00331058" w:rsidP="00576647">
      <w:pPr>
        <w:pStyle w:val="ListParagraph"/>
        <w:tabs>
          <w:tab w:val="left" w:pos="4253"/>
        </w:tabs>
        <w:jc w:val="both"/>
        <w:rPr>
          <w:highlight w:val="yellow"/>
          <w:lang w:val="lv-LV"/>
        </w:rPr>
      </w:pPr>
      <w:bookmarkStart w:id="0" w:name="_GoBack"/>
      <w:bookmarkEnd w:id="0"/>
    </w:p>
    <w:p w:rsidR="00400E30" w:rsidRPr="00F17E78" w:rsidRDefault="00005C58" w:rsidP="00F37C66">
      <w:pPr>
        <w:pStyle w:val="ListParagraph"/>
        <w:numPr>
          <w:ilvl w:val="0"/>
          <w:numId w:val="1"/>
        </w:numPr>
        <w:tabs>
          <w:tab w:val="left" w:pos="4253"/>
        </w:tabs>
        <w:jc w:val="both"/>
        <w:rPr>
          <w:b/>
          <w:lang w:val="lv-LV"/>
        </w:rPr>
      </w:pPr>
      <w:r w:rsidRPr="00F17E78">
        <w:rPr>
          <w:b/>
          <w:lang w:val="lv-LV"/>
        </w:rPr>
        <w:t>Informācija (ja ir zināma) par to iepirkuma līguma daļu, kuru izraudzītais pretendents plānojis nodot apakšuzņēmējiem, kā arī apakšuzņēmēju nosaukumi:</w:t>
      </w:r>
    </w:p>
    <w:p w:rsidR="00005C58" w:rsidRPr="00F17E78" w:rsidRDefault="0030608C" w:rsidP="00005C58">
      <w:pPr>
        <w:pStyle w:val="ListParagraph"/>
        <w:tabs>
          <w:tab w:val="left" w:pos="4253"/>
        </w:tabs>
        <w:jc w:val="both"/>
        <w:rPr>
          <w:lang w:val="lv-LV"/>
        </w:rPr>
      </w:pPr>
      <w:r w:rsidRPr="00F17E78">
        <w:rPr>
          <w:lang w:val="lv-LV"/>
        </w:rPr>
        <w:t>-</w:t>
      </w:r>
    </w:p>
    <w:p w:rsidR="0030608C" w:rsidRPr="00F17E78" w:rsidRDefault="0030608C" w:rsidP="0030608C">
      <w:pPr>
        <w:tabs>
          <w:tab w:val="left" w:pos="4253"/>
        </w:tabs>
        <w:jc w:val="both"/>
        <w:rPr>
          <w:lang w:val="lv-LV"/>
        </w:rPr>
      </w:pPr>
    </w:p>
    <w:p w:rsidR="0030608C" w:rsidRPr="00F17E78" w:rsidRDefault="00A0587B" w:rsidP="0030608C">
      <w:pPr>
        <w:pStyle w:val="ListParagraph"/>
        <w:numPr>
          <w:ilvl w:val="0"/>
          <w:numId w:val="1"/>
        </w:numPr>
        <w:tabs>
          <w:tab w:val="left" w:pos="4253"/>
        </w:tabs>
        <w:jc w:val="both"/>
        <w:rPr>
          <w:b/>
          <w:lang w:val="lv-LV"/>
        </w:rPr>
      </w:pPr>
      <w:r w:rsidRPr="00F17E78">
        <w:rPr>
          <w:b/>
          <w:lang w:val="lv-LV"/>
        </w:rPr>
        <w:t>Pamatojums lēmumam par katru noraidīto pretendentu, kā arī par katru iepirkuma procedūras dokumentiem neatbilstošu piedāvājumu:</w:t>
      </w:r>
    </w:p>
    <w:p w:rsidR="00A0587B" w:rsidRPr="00F17E78" w:rsidRDefault="00A0587B" w:rsidP="00A0587B">
      <w:pPr>
        <w:pStyle w:val="ListParagraph"/>
        <w:tabs>
          <w:tab w:val="left" w:pos="4253"/>
        </w:tabs>
        <w:jc w:val="both"/>
        <w:rPr>
          <w:lang w:val="lv-LV"/>
        </w:rPr>
      </w:pPr>
      <w:r w:rsidRPr="00F17E78">
        <w:rPr>
          <w:lang w:val="lv-LV"/>
        </w:rPr>
        <w:t>-</w:t>
      </w:r>
    </w:p>
    <w:p w:rsidR="00400E30" w:rsidRPr="00E93BBF" w:rsidRDefault="00400E30" w:rsidP="00A0587B">
      <w:pPr>
        <w:tabs>
          <w:tab w:val="left" w:pos="4253"/>
        </w:tabs>
        <w:jc w:val="both"/>
        <w:rPr>
          <w:lang w:val="lv-LV"/>
        </w:rPr>
      </w:pPr>
    </w:p>
    <w:p w:rsidR="00A0587B" w:rsidRPr="00E93BBF" w:rsidRDefault="008E3EE8" w:rsidP="008E3EE8">
      <w:pPr>
        <w:pStyle w:val="ListParagraph"/>
        <w:numPr>
          <w:ilvl w:val="0"/>
          <w:numId w:val="1"/>
        </w:numPr>
        <w:tabs>
          <w:tab w:val="left" w:pos="4253"/>
        </w:tabs>
        <w:jc w:val="both"/>
        <w:rPr>
          <w:lang w:val="lv-LV"/>
        </w:rPr>
      </w:pPr>
      <w:r w:rsidRPr="00E93BBF">
        <w:rPr>
          <w:b/>
          <w:lang w:val="lv-LV"/>
        </w:rPr>
        <w:t>Ja piedāvājumu iesniedzis tikai viens piegādātājs, - pamatojums iepirkuma procedūras nepārtraukšanai saskaņā ar MKN Nr.107 19.punktu:</w:t>
      </w:r>
    </w:p>
    <w:p w:rsidR="0040309B" w:rsidRPr="00E93BBF" w:rsidRDefault="00584A10" w:rsidP="0040309B">
      <w:pPr>
        <w:pStyle w:val="NoSpacing"/>
        <w:ind w:left="720"/>
        <w:jc w:val="both"/>
        <w:rPr>
          <w:sz w:val="24"/>
          <w:szCs w:val="24"/>
        </w:rPr>
      </w:pPr>
      <w:r w:rsidRPr="00E93BBF">
        <w:rPr>
          <w:sz w:val="24"/>
          <w:szCs w:val="24"/>
        </w:rPr>
        <w:t>-</w:t>
      </w:r>
    </w:p>
    <w:p w:rsidR="0040309B" w:rsidRPr="00F22B2F" w:rsidRDefault="0040309B" w:rsidP="0040309B">
      <w:pPr>
        <w:pStyle w:val="NoSpacing"/>
        <w:jc w:val="both"/>
        <w:rPr>
          <w:sz w:val="24"/>
          <w:szCs w:val="24"/>
          <w:highlight w:val="yellow"/>
        </w:rPr>
      </w:pPr>
    </w:p>
    <w:p w:rsidR="0040309B" w:rsidRPr="0076099B" w:rsidRDefault="00737906" w:rsidP="0040309B">
      <w:pPr>
        <w:pStyle w:val="NoSpacing"/>
        <w:numPr>
          <w:ilvl w:val="0"/>
          <w:numId w:val="1"/>
        </w:numPr>
        <w:jc w:val="both"/>
        <w:rPr>
          <w:b/>
          <w:sz w:val="24"/>
          <w:szCs w:val="24"/>
        </w:rPr>
      </w:pPr>
      <w:r w:rsidRPr="0076099B">
        <w:rPr>
          <w:b/>
          <w:sz w:val="24"/>
          <w:szCs w:val="24"/>
        </w:rPr>
        <w:t>Lēmuma pamatojums, ja iepirkuma komisija pieņēmusi lēmumu pārtraukt vai izbeigt iepirkuma procedūru:</w:t>
      </w:r>
    </w:p>
    <w:p w:rsidR="0076099B" w:rsidRDefault="002A21C6" w:rsidP="00737906">
      <w:pPr>
        <w:pStyle w:val="NoSpacing"/>
        <w:ind w:left="720"/>
        <w:jc w:val="both"/>
        <w:rPr>
          <w:sz w:val="24"/>
          <w:szCs w:val="24"/>
          <w:highlight w:val="yellow"/>
        </w:rPr>
      </w:pPr>
      <w:r>
        <w:rPr>
          <w:sz w:val="24"/>
          <w:szCs w:val="24"/>
        </w:rPr>
        <w:t>Pamatojoties uz</w:t>
      </w:r>
      <w:r w:rsidR="00682A48">
        <w:rPr>
          <w:sz w:val="24"/>
          <w:szCs w:val="24"/>
        </w:rPr>
        <w:t xml:space="preserve"> </w:t>
      </w:r>
      <w:r w:rsidR="0076099B" w:rsidRPr="00C65D44">
        <w:rPr>
          <w:sz w:val="24"/>
          <w:szCs w:val="24"/>
        </w:rPr>
        <w:t>Ministru kabineta 28.02.2017. noteikumu Nr.107 “Iepirkuma procedūru un metu konkursu norises kārtība” 230.punktā un atklātā konkursa nolikuma 8.1.3.punktā noteikto</w:t>
      </w:r>
      <w:r w:rsidR="0076099B">
        <w:rPr>
          <w:sz w:val="24"/>
          <w:szCs w:val="24"/>
        </w:rPr>
        <w:t>, jo abu iesniegto piedāvājumu līgumcena pārsniedz gan pasūtītāja iepirkuma priekšmeta iegādei plānotos finanšu līdzekļus, gan Ministru kabineta 28.02.2017. noteikumu Nr.105 “Noteikumi par publisko iepirkumu līgumcenu robežvērtībām” 2.1.punktā noteikto līgumcenas robežvērtību publiskiem piegādes līgumiem (144 000,00 EUR (bez PVN))</w:t>
      </w:r>
      <w:r>
        <w:rPr>
          <w:sz w:val="24"/>
          <w:szCs w:val="24"/>
        </w:rPr>
        <w:t xml:space="preserve">, kas nozīmē, ka atklāts konkurss bija jāorganizē kā atklāts konkurss </w:t>
      </w:r>
      <w:r w:rsidRPr="00C965BE">
        <w:rPr>
          <w:i/>
          <w:sz w:val="24"/>
          <w:szCs w:val="24"/>
        </w:rPr>
        <w:t>virs ES sliekšņa</w:t>
      </w:r>
      <w:r>
        <w:rPr>
          <w:sz w:val="24"/>
          <w:szCs w:val="24"/>
        </w:rPr>
        <w:t xml:space="preserve">, t.sk., atklātā konkursa piedāvājumu sagatavošanai bija jānosaka garāks piedāvājumu iesniegšanas termiņš; paziņojums par līgumu bija jāpublicē ne tikai Iepirkumu uzraudzības biroja mājas lapā internetā, bet arī </w:t>
      </w:r>
      <w:r w:rsidRPr="000D7C9F">
        <w:rPr>
          <w:sz w:val="24"/>
          <w:szCs w:val="24"/>
        </w:rPr>
        <w:t>Eiropas Savienības Oficiālajā Vēstnesī</w:t>
      </w:r>
      <w:r>
        <w:rPr>
          <w:sz w:val="24"/>
          <w:szCs w:val="24"/>
        </w:rPr>
        <w:t xml:space="preserve"> (saskaņā ar </w:t>
      </w:r>
      <w:r w:rsidRPr="001C5208">
        <w:rPr>
          <w:sz w:val="24"/>
          <w:szCs w:val="24"/>
        </w:rPr>
        <w:t>Ministru kabineta 28.02.2017. noteikumu Nr.107 “Iepirkuma procedūru un me</w:t>
      </w:r>
      <w:r>
        <w:rPr>
          <w:sz w:val="24"/>
          <w:szCs w:val="24"/>
        </w:rPr>
        <w:t>tu konkursu norises kārtība” 3</w:t>
      </w:r>
      <w:r w:rsidRPr="001C5208">
        <w:rPr>
          <w:sz w:val="24"/>
          <w:szCs w:val="24"/>
        </w:rPr>
        <w:t>.punktā</w:t>
      </w:r>
      <w:r>
        <w:rPr>
          <w:sz w:val="24"/>
          <w:szCs w:val="24"/>
        </w:rPr>
        <w:t xml:space="preserve"> noteikto)</w:t>
      </w:r>
      <w:r w:rsidR="0076099B">
        <w:rPr>
          <w:sz w:val="24"/>
          <w:szCs w:val="24"/>
        </w:rPr>
        <w:t>.</w:t>
      </w:r>
    </w:p>
    <w:p w:rsidR="00737906" w:rsidRPr="00F22B2F" w:rsidRDefault="00737906" w:rsidP="00737906">
      <w:pPr>
        <w:tabs>
          <w:tab w:val="left" w:pos="4253"/>
        </w:tabs>
        <w:jc w:val="both"/>
        <w:rPr>
          <w:highlight w:val="yellow"/>
          <w:lang w:val="lv-LV"/>
        </w:rPr>
      </w:pPr>
    </w:p>
    <w:p w:rsidR="00737906" w:rsidRPr="00DB173C" w:rsidRDefault="000103B6" w:rsidP="00737906">
      <w:pPr>
        <w:pStyle w:val="ListParagraph"/>
        <w:numPr>
          <w:ilvl w:val="0"/>
          <w:numId w:val="1"/>
        </w:numPr>
        <w:tabs>
          <w:tab w:val="left" w:pos="4253"/>
        </w:tabs>
        <w:jc w:val="both"/>
        <w:rPr>
          <w:b/>
          <w:lang w:val="lv-LV"/>
        </w:rPr>
      </w:pPr>
      <w:r w:rsidRPr="00DB173C">
        <w:rPr>
          <w:b/>
          <w:lang w:val="lv-LV"/>
        </w:rPr>
        <w:t>Piedāvājuma noraidīšanas pamatojums, ja iepirkuma komisija atzinusi piedāvājumu par nepamatoti lētu:</w:t>
      </w:r>
    </w:p>
    <w:p w:rsidR="000103B6" w:rsidRPr="00DB173C" w:rsidRDefault="000103B6" w:rsidP="000103B6">
      <w:pPr>
        <w:pStyle w:val="ListParagraph"/>
        <w:tabs>
          <w:tab w:val="left" w:pos="4253"/>
        </w:tabs>
        <w:jc w:val="both"/>
        <w:rPr>
          <w:lang w:val="lv-LV"/>
        </w:rPr>
      </w:pPr>
      <w:r w:rsidRPr="00DB173C">
        <w:rPr>
          <w:lang w:val="lv-LV"/>
        </w:rPr>
        <w:t>-</w:t>
      </w:r>
    </w:p>
    <w:p w:rsidR="000103B6" w:rsidRPr="00F22B2F" w:rsidRDefault="000103B6" w:rsidP="000103B6">
      <w:pPr>
        <w:tabs>
          <w:tab w:val="left" w:pos="4253"/>
        </w:tabs>
        <w:jc w:val="both"/>
        <w:rPr>
          <w:highlight w:val="yellow"/>
          <w:lang w:val="lv-LV"/>
        </w:rPr>
      </w:pPr>
    </w:p>
    <w:p w:rsidR="000103B6" w:rsidRPr="00DB173C" w:rsidRDefault="000103B6" w:rsidP="000103B6">
      <w:pPr>
        <w:pStyle w:val="ListParagraph"/>
        <w:numPr>
          <w:ilvl w:val="0"/>
          <w:numId w:val="1"/>
        </w:numPr>
        <w:tabs>
          <w:tab w:val="left" w:pos="4253"/>
        </w:tabs>
        <w:jc w:val="both"/>
        <w:rPr>
          <w:lang w:val="lv-LV"/>
        </w:rPr>
      </w:pPr>
      <w:r w:rsidRPr="00DB173C">
        <w:rPr>
          <w:b/>
          <w:lang w:val="lv-LV"/>
        </w:rPr>
        <w:t>Iemesli, kuru dēļ netiek paredzēta elektroniska piedāvājumu iesniegšana, ja pasūtītājam ir pienākums izmantot piedāvājumu saņemšanai elektroniskās informācijas sistēmas:</w:t>
      </w:r>
    </w:p>
    <w:p w:rsidR="000103B6" w:rsidRPr="00DB173C" w:rsidRDefault="000103B6" w:rsidP="000103B6">
      <w:pPr>
        <w:pStyle w:val="ListParagraph"/>
        <w:tabs>
          <w:tab w:val="left" w:pos="4253"/>
        </w:tabs>
        <w:jc w:val="both"/>
        <w:rPr>
          <w:lang w:val="lv-LV"/>
        </w:rPr>
      </w:pPr>
      <w:r w:rsidRPr="00DB173C">
        <w:rPr>
          <w:lang w:val="lv-LV"/>
        </w:rPr>
        <w:t>-</w:t>
      </w:r>
    </w:p>
    <w:p w:rsidR="00005C58" w:rsidRPr="00F22B2F" w:rsidRDefault="00005C58" w:rsidP="000103B6">
      <w:pPr>
        <w:tabs>
          <w:tab w:val="left" w:pos="4253"/>
        </w:tabs>
        <w:jc w:val="both"/>
        <w:rPr>
          <w:highlight w:val="yellow"/>
          <w:lang w:val="lv-LV"/>
        </w:rPr>
      </w:pPr>
    </w:p>
    <w:p w:rsidR="00A515AB" w:rsidRPr="00624AC6" w:rsidRDefault="00A515AB" w:rsidP="00A515AB">
      <w:pPr>
        <w:pStyle w:val="ListParagraph"/>
        <w:numPr>
          <w:ilvl w:val="0"/>
          <w:numId w:val="1"/>
        </w:numPr>
        <w:tabs>
          <w:tab w:val="left" w:pos="4253"/>
        </w:tabs>
        <w:jc w:val="both"/>
        <w:rPr>
          <w:lang w:val="lv-LV"/>
        </w:rPr>
      </w:pPr>
      <w:r w:rsidRPr="00DB173C">
        <w:rPr>
          <w:b/>
          <w:lang w:val="lv-LV"/>
        </w:rPr>
        <w:t>Konstatētie interešu konflikti un pasākumi, kas veikti to novēršanai:</w:t>
      </w:r>
    </w:p>
    <w:p w:rsidR="00624AC6" w:rsidRPr="00DB173C" w:rsidRDefault="00624AC6" w:rsidP="00624AC6">
      <w:pPr>
        <w:pStyle w:val="ListParagraph"/>
        <w:tabs>
          <w:tab w:val="left" w:pos="4253"/>
        </w:tabs>
        <w:jc w:val="both"/>
        <w:rPr>
          <w:lang w:val="lv-LV"/>
        </w:rPr>
      </w:pPr>
      <w:r w:rsidRPr="00DB173C">
        <w:rPr>
          <w:lang w:val="lv-LV"/>
        </w:rPr>
        <w:t>-</w:t>
      </w:r>
    </w:p>
    <w:p w:rsidR="00FC6C58" w:rsidRPr="00FC6C58" w:rsidRDefault="00FC6C58" w:rsidP="00FC6C58">
      <w:pPr>
        <w:tabs>
          <w:tab w:val="left" w:pos="4253"/>
        </w:tabs>
        <w:jc w:val="both"/>
        <w:rPr>
          <w:lang w:val="lv-LV"/>
        </w:rPr>
      </w:pPr>
    </w:p>
    <w:p w:rsidR="00AE6065" w:rsidRPr="00F22B2F" w:rsidRDefault="00AE6065" w:rsidP="004D5ED9">
      <w:pPr>
        <w:jc w:val="both"/>
        <w:rPr>
          <w:bCs/>
          <w:highlight w:val="yellow"/>
          <w:lang w:val="lv-LV"/>
        </w:rPr>
      </w:pPr>
    </w:p>
    <w:p w:rsidR="00F22B2F" w:rsidRPr="00DB6145" w:rsidRDefault="00F22B2F" w:rsidP="00F22B2F">
      <w:pPr>
        <w:jc w:val="both"/>
        <w:rPr>
          <w:lang w:val="lv-LV"/>
        </w:rPr>
      </w:pPr>
      <w:r w:rsidRPr="00986536">
        <w:rPr>
          <w:lang w:val="lv-LV"/>
        </w:rPr>
        <w:t>Komisijas priekšsēdētāj</w:t>
      </w:r>
      <w:r>
        <w:rPr>
          <w:lang w:val="lv-LV"/>
        </w:rPr>
        <w:t>a vietniece</w:t>
      </w:r>
      <w:r w:rsidRPr="00986536">
        <w:rPr>
          <w:lang w:val="lv-LV"/>
        </w:rPr>
        <w:tab/>
      </w:r>
      <w:r w:rsidR="00FC6C58">
        <w:rPr>
          <w:lang w:val="lv-LV"/>
        </w:rPr>
        <w:tab/>
      </w:r>
      <w:r w:rsidRPr="00986536">
        <w:rPr>
          <w:lang w:val="lv-LV"/>
        </w:rPr>
        <w:tab/>
      </w:r>
      <w:r>
        <w:rPr>
          <w:lang w:val="lv-LV"/>
        </w:rPr>
        <w:t>_____________________</w:t>
      </w:r>
      <w:r>
        <w:rPr>
          <w:lang w:val="lv-LV"/>
        </w:rPr>
        <w:tab/>
        <w:t>E.Morkūna</w:t>
      </w:r>
    </w:p>
    <w:sectPr w:rsidR="00F22B2F" w:rsidRPr="00DB6145" w:rsidSect="00AE6065">
      <w:headerReference w:type="even" r:id="rId9"/>
      <w:pgSz w:w="11906" w:h="16838"/>
      <w:pgMar w:top="1258" w:right="926"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2E2" w:rsidRDefault="00D232E2">
      <w:r>
        <w:separator/>
      </w:r>
    </w:p>
  </w:endnote>
  <w:endnote w:type="continuationSeparator" w:id="0">
    <w:p w:rsidR="00D232E2" w:rsidRDefault="00D23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2E2" w:rsidRDefault="00D232E2">
      <w:r>
        <w:separator/>
      </w:r>
    </w:p>
  </w:footnote>
  <w:footnote w:type="continuationSeparator" w:id="0">
    <w:p w:rsidR="00D232E2" w:rsidRDefault="00D232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2E2" w:rsidRDefault="00D232E2" w:rsidP="00D232E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232E2" w:rsidRDefault="00D232E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2D6"/>
    <w:multiLevelType w:val="hybridMultilevel"/>
    <w:tmpl w:val="4364BA1C"/>
    <w:lvl w:ilvl="0" w:tplc="0426000F">
      <w:start w:val="1"/>
      <w:numFmt w:val="decimal"/>
      <w:lvlText w:val="%1."/>
      <w:lvlJc w:val="left"/>
      <w:pPr>
        <w:tabs>
          <w:tab w:val="num" w:pos="1080"/>
        </w:tabs>
        <w:ind w:left="1080" w:hanging="360"/>
      </w:p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 w15:restartNumberingAfterBreak="0">
    <w:nsid w:val="09275A0E"/>
    <w:multiLevelType w:val="hybridMultilevel"/>
    <w:tmpl w:val="0CD0C1DA"/>
    <w:lvl w:ilvl="0" w:tplc="4928136A">
      <w:start w:val="1"/>
      <w:numFmt w:val="decimal"/>
      <w:lvlText w:val="%1)"/>
      <w:lvlJc w:val="left"/>
      <w:pPr>
        <w:ind w:left="1080" w:hanging="360"/>
      </w:pPr>
      <w:rPr>
        <w:rFonts w:ascii="Times New Roman" w:eastAsia="Times New Roman" w:hAnsi="Times New Roman" w:cs="Times New Roman"/>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EFC17D6"/>
    <w:multiLevelType w:val="hybridMultilevel"/>
    <w:tmpl w:val="2EE447E0"/>
    <w:lvl w:ilvl="0" w:tplc="1192647A">
      <w:start w:val="1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5813DB4"/>
    <w:multiLevelType w:val="hybridMultilevel"/>
    <w:tmpl w:val="C5F86710"/>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16DF20B8"/>
    <w:multiLevelType w:val="hybridMultilevel"/>
    <w:tmpl w:val="D4B02002"/>
    <w:lvl w:ilvl="0" w:tplc="9594D7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BE203A"/>
    <w:multiLevelType w:val="hybridMultilevel"/>
    <w:tmpl w:val="6B1A591E"/>
    <w:lvl w:ilvl="0" w:tplc="B9743D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33550B55"/>
    <w:multiLevelType w:val="hybridMultilevel"/>
    <w:tmpl w:val="8754126A"/>
    <w:lvl w:ilvl="0" w:tplc="88EEBB64">
      <w:start w:val="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AEF1272"/>
    <w:multiLevelType w:val="hybridMultilevel"/>
    <w:tmpl w:val="170694C6"/>
    <w:lvl w:ilvl="0" w:tplc="C646EF32">
      <w:start w:val="15"/>
      <w:numFmt w:val="bullet"/>
      <w:lvlText w:val="-"/>
      <w:lvlJc w:val="left"/>
      <w:pPr>
        <w:ind w:left="1080" w:hanging="360"/>
      </w:pPr>
      <w:rPr>
        <w:rFonts w:ascii="Times New Roman" w:eastAsia="Times New Roman"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40DA2866"/>
    <w:multiLevelType w:val="hybridMultilevel"/>
    <w:tmpl w:val="0EC039DA"/>
    <w:lvl w:ilvl="0" w:tplc="27A8CF1C">
      <w:start w:val="1"/>
      <w:numFmt w:val="decimal"/>
      <w:lvlText w:val="%1."/>
      <w:lvlJc w:val="left"/>
      <w:pPr>
        <w:tabs>
          <w:tab w:val="num" w:pos="720"/>
        </w:tabs>
        <w:ind w:left="720" w:hanging="360"/>
      </w:pPr>
      <w:rPr>
        <w:b/>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418836A0"/>
    <w:multiLevelType w:val="hybridMultilevel"/>
    <w:tmpl w:val="D4F8BA94"/>
    <w:lvl w:ilvl="0" w:tplc="F1723348">
      <w:start w:val="3"/>
      <w:numFmt w:val="bullet"/>
      <w:lvlText w:val="-"/>
      <w:lvlJc w:val="left"/>
      <w:pPr>
        <w:ind w:left="720" w:hanging="360"/>
      </w:pPr>
      <w:rPr>
        <w:rFonts w:ascii="Arial" w:eastAsia="Calibr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91154B1"/>
    <w:multiLevelType w:val="hybridMultilevel"/>
    <w:tmpl w:val="0CD0C1DA"/>
    <w:lvl w:ilvl="0" w:tplc="4928136A">
      <w:start w:val="1"/>
      <w:numFmt w:val="decimal"/>
      <w:lvlText w:val="%1)"/>
      <w:lvlJc w:val="left"/>
      <w:pPr>
        <w:ind w:left="1080" w:hanging="360"/>
      </w:pPr>
      <w:rPr>
        <w:rFonts w:ascii="Times New Roman" w:eastAsia="Times New Roman" w:hAnsi="Times New Roman" w:cs="Times New Roman"/>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5047015F"/>
    <w:multiLevelType w:val="hybridMultilevel"/>
    <w:tmpl w:val="178221B4"/>
    <w:lvl w:ilvl="0" w:tplc="216EE83E">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64A72D39"/>
    <w:multiLevelType w:val="hybridMultilevel"/>
    <w:tmpl w:val="BF8A9CF8"/>
    <w:lvl w:ilvl="0" w:tplc="C9FE9690">
      <w:start w:val="1"/>
      <w:numFmt w:val="decimal"/>
      <w:lvlText w:val="%1."/>
      <w:lvlJc w:val="left"/>
      <w:pPr>
        <w:tabs>
          <w:tab w:val="num" w:pos="720"/>
        </w:tabs>
        <w:ind w:left="720" w:hanging="360"/>
      </w:pPr>
      <w:rPr>
        <w:rFonts w:hint="default"/>
        <w:b/>
      </w:rPr>
    </w:lvl>
    <w:lvl w:ilvl="1" w:tplc="0426000F">
      <w:start w:val="1"/>
      <w:numFmt w:val="decimal"/>
      <w:lvlText w:val="%2."/>
      <w:lvlJc w:val="left"/>
      <w:pPr>
        <w:tabs>
          <w:tab w:val="num" w:pos="1440"/>
        </w:tabs>
        <w:ind w:left="1440" w:hanging="360"/>
      </w:pPr>
      <w:rPr>
        <w:rFonts w:hint="default"/>
        <w:b/>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69DE2582"/>
    <w:multiLevelType w:val="hybridMultilevel"/>
    <w:tmpl w:val="6A7239C2"/>
    <w:lvl w:ilvl="0" w:tplc="0426000F">
      <w:start w:val="1"/>
      <w:numFmt w:val="decimal"/>
      <w:lvlText w:val="%1."/>
      <w:lvlJc w:val="left"/>
      <w:pPr>
        <w:tabs>
          <w:tab w:val="num" w:pos="784"/>
        </w:tabs>
        <w:ind w:left="784" w:hanging="360"/>
      </w:pPr>
    </w:lvl>
    <w:lvl w:ilvl="1" w:tplc="04260019" w:tentative="1">
      <w:start w:val="1"/>
      <w:numFmt w:val="lowerLetter"/>
      <w:lvlText w:val="%2."/>
      <w:lvlJc w:val="left"/>
      <w:pPr>
        <w:tabs>
          <w:tab w:val="num" w:pos="1504"/>
        </w:tabs>
        <w:ind w:left="1504" w:hanging="360"/>
      </w:pPr>
    </w:lvl>
    <w:lvl w:ilvl="2" w:tplc="0426001B" w:tentative="1">
      <w:start w:val="1"/>
      <w:numFmt w:val="lowerRoman"/>
      <w:lvlText w:val="%3."/>
      <w:lvlJc w:val="right"/>
      <w:pPr>
        <w:tabs>
          <w:tab w:val="num" w:pos="2224"/>
        </w:tabs>
        <w:ind w:left="2224" w:hanging="180"/>
      </w:pPr>
    </w:lvl>
    <w:lvl w:ilvl="3" w:tplc="0426000F" w:tentative="1">
      <w:start w:val="1"/>
      <w:numFmt w:val="decimal"/>
      <w:lvlText w:val="%4."/>
      <w:lvlJc w:val="left"/>
      <w:pPr>
        <w:tabs>
          <w:tab w:val="num" w:pos="2944"/>
        </w:tabs>
        <w:ind w:left="2944" w:hanging="360"/>
      </w:pPr>
    </w:lvl>
    <w:lvl w:ilvl="4" w:tplc="04260019" w:tentative="1">
      <w:start w:val="1"/>
      <w:numFmt w:val="lowerLetter"/>
      <w:lvlText w:val="%5."/>
      <w:lvlJc w:val="left"/>
      <w:pPr>
        <w:tabs>
          <w:tab w:val="num" w:pos="3664"/>
        </w:tabs>
        <w:ind w:left="3664" w:hanging="360"/>
      </w:pPr>
    </w:lvl>
    <w:lvl w:ilvl="5" w:tplc="0426001B" w:tentative="1">
      <w:start w:val="1"/>
      <w:numFmt w:val="lowerRoman"/>
      <w:lvlText w:val="%6."/>
      <w:lvlJc w:val="right"/>
      <w:pPr>
        <w:tabs>
          <w:tab w:val="num" w:pos="4384"/>
        </w:tabs>
        <w:ind w:left="4384" w:hanging="180"/>
      </w:pPr>
    </w:lvl>
    <w:lvl w:ilvl="6" w:tplc="0426000F" w:tentative="1">
      <w:start w:val="1"/>
      <w:numFmt w:val="decimal"/>
      <w:lvlText w:val="%7."/>
      <w:lvlJc w:val="left"/>
      <w:pPr>
        <w:tabs>
          <w:tab w:val="num" w:pos="5104"/>
        </w:tabs>
        <w:ind w:left="5104" w:hanging="360"/>
      </w:pPr>
    </w:lvl>
    <w:lvl w:ilvl="7" w:tplc="04260019" w:tentative="1">
      <w:start w:val="1"/>
      <w:numFmt w:val="lowerLetter"/>
      <w:lvlText w:val="%8."/>
      <w:lvlJc w:val="left"/>
      <w:pPr>
        <w:tabs>
          <w:tab w:val="num" w:pos="5824"/>
        </w:tabs>
        <w:ind w:left="5824" w:hanging="360"/>
      </w:pPr>
    </w:lvl>
    <w:lvl w:ilvl="8" w:tplc="0426001B" w:tentative="1">
      <w:start w:val="1"/>
      <w:numFmt w:val="lowerRoman"/>
      <w:lvlText w:val="%9."/>
      <w:lvlJc w:val="right"/>
      <w:pPr>
        <w:tabs>
          <w:tab w:val="num" w:pos="6544"/>
        </w:tabs>
        <w:ind w:left="6544" w:hanging="180"/>
      </w:pPr>
    </w:lvl>
  </w:abstractNum>
  <w:abstractNum w:abstractNumId="14" w15:restartNumberingAfterBreak="0">
    <w:nsid w:val="753C4FCA"/>
    <w:multiLevelType w:val="hybridMultilevel"/>
    <w:tmpl w:val="6A7239C2"/>
    <w:lvl w:ilvl="0" w:tplc="0426000F">
      <w:start w:val="1"/>
      <w:numFmt w:val="decimal"/>
      <w:lvlText w:val="%1."/>
      <w:lvlJc w:val="left"/>
      <w:pPr>
        <w:tabs>
          <w:tab w:val="num" w:pos="784"/>
        </w:tabs>
        <w:ind w:left="784" w:hanging="360"/>
      </w:pPr>
    </w:lvl>
    <w:lvl w:ilvl="1" w:tplc="04260019" w:tentative="1">
      <w:start w:val="1"/>
      <w:numFmt w:val="lowerLetter"/>
      <w:lvlText w:val="%2."/>
      <w:lvlJc w:val="left"/>
      <w:pPr>
        <w:tabs>
          <w:tab w:val="num" w:pos="1504"/>
        </w:tabs>
        <w:ind w:left="1504" w:hanging="360"/>
      </w:pPr>
    </w:lvl>
    <w:lvl w:ilvl="2" w:tplc="0426001B" w:tentative="1">
      <w:start w:val="1"/>
      <w:numFmt w:val="lowerRoman"/>
      <w:lvlText w:val="%3."/>
      <w:lvlJc w:val="right"/>
      <w:pPr>
        <w:tabs>
          <w:tab w:val="num" w:pos="2224"/>
        </w:tabs>
        <w:ind w:left="2224" w:hanging="180"/>
      </w:pPr>
    </w:lvl>
    <w:lvl w:ilvl="3" w:tplc="0426000F" w:tentative="1">
      <w:start w:val="1"/>
      <w:numFmt w:val="decimal"/>
      <w:lvlText w:val="%4."/>
      <w:lvlJc w:val="left"/>
      <w:pPr>
        <w:tabs>
          <w:tab w:val="num" w:pos="2944"/>
        </w:tabs>
        <w:ind w:left="2944" w:hanging="360"/>
      </w:pPr>
    </w:lvl>
    <w:lvl w:ilvl="4" w:tplc="04260019" w:tentative="1">
      <w:start w:val="1"/>
      <w:numFmt w:val="lowerLetter"/>
      <w:lvlText w:val="%5."/>
      <w:lvlJc w:val="left"/>
      <w:pPr>
        <w:tabs>
          <w:tab w:val="num" w:pos="3664"/>
        </w:tabs>
        <w:ind w:left="3664" w:hanging="360"/>
      </w:pPr>
    </w:lvl>
    <w:lvl w:ilvl="5" w:tplc="0426001B" w:tentative="1">
      <w:start w:val="1"/>
      <w:numFmt w:val="lowerRoman"/>
      <w:lvlText w:val="%6."/>
      <w:lvlJc w:val="right"/>
      <w:pPr>
        <w:tabs>
          <w:tab w:val="num" w:pos="4384"/>
        </w:tabs>
        <w:ind w:left="4384" w:hanging="180"/>
      </w:pPr>
    </w:lvl>
    <w:lvl w:ilvl="6" w:tplc="0426000F" w:tentative="1">
      <w:start w:val="1"/>
      <w:numFmt w:val="decimal"/>
      <w:lvlText w:val="%7."/>
      <w:lvlJc w:val="left"/>
      <w:pPr>
        <w:tabs>
          <w:tab w:val="num" w:pos="5104"/>
        </w:tabs>
        <w:ind w:left="5104" w:hanging="360"/>
      </w:pPr>
    </w:lvl>
    <w:lvl w:ilvl="7" w:tplc="04260019" w:tentative="1">
      <w:start w:val="1"/>
      <w:numFmt w:val="lowerLetter"/>
      <w:lvlText w:val="%8."/>
      <w:lvlJc w:val="left"/>
      <w:pPr>
        <w:tabs>
          <w:tab w:val="num" w:pos="5824"/>
        </w:tabs>
        <w:ind w:left="5824" w:hanging="360"/>
      </w:pPr>
    </w:lvl>
    <w:lvl w:ilvl="8" w:tplc="0426001B" w:tentative="1">
      <w:start w:val="1"/>
      <w:numFmt w:val="lowerRoman"/>
      <w:lvlText w:val="%9."/>
      <w:lvlJc w:val="right"/>
      <w:pPr>
        <w:tabs>
          <w:tab w:val="num" w:pos="6544"/>
        </w:tabs>
        <w:ind w:left="6544" w:hanging="180"/>
      </w:pPr>
    </w:lvl>
  </w:abstractNum>
  <w:num w:numId="1">
    <w:abstractNumId w:val="8"/>
  </w:num>
  <w:num w:numId="2">
    <w:abstractNumId w:val="0"/>
  </w:num>
  <w:num w:numId="3">
    <w:abstractNumId w:val="6"/>
  </w:num>
  <w:num w:numId="4">
    <w:abstractNumId w:val="14"/>
  </w:num>
  <w:num w:numId="5">
    <w:abstractNumId w:val="1"/>
  </w:num>
  <w:num w:numId="6">
    <w:abstractNumId w:val="11"/>
  </w:num>
  <w:num w:numId="7">
    <w:abstractNumId w:val="10"/>
  </w:num>
  <w:num w:numId="8">
    <w:abstractNumId w:val="4"/>
  </w:num>
  <w:num w:numId="9">
    <w:abstractNumId w:val="13"/>
  </w:num>
  <w:num w:numId="10">
    <w:abstractNumId w:val="12"/>
  </w:num>
  <w:num w:numId="11">
    <w:abstractNumId w:val="5"/>
  </w:num>
  <w:num w:numId="12">
    <w:abstractNumId w:val="2"/>
  </w:num>
  <w:num w:numId="13">
    <w:abstractNumId w:val="7"/>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AE5"/>
    <w:rsid w:val="00005C58"/>
    <w:rsid w:val="000103B6"/>
    <w:rsid w:val="00012B52"/>
    <w:rsid w:val="00020BA6"/>
    <w:rsid w:val="00020DBE"/>
    <w:rsid w:val="00033961"/>
    <w:rsid w:val="00061267"/>
    <w:rsid w:val="00067EB0"/>
    <w:rsid w:val="00094406"/>
    <w:rsid w:val="00097E20"/>
    <w:rsid w:val="000A2833"/>
    <w:rsid w:val="000A3B31"/>
    <w:rsid w:val="000A6701"/>
    <w:rsid w:val="000B59C3"/>
    <w:rsid w:val="000C0D5A"/>
    <w:rsid w:val="000C51E6"/>
    <w:rsid w:val="000D03F8"/>
    <w:rsid w:val="000D58AD"/>
    <w:rsid w:val="000E118D"/>
    <w:rsid w:val="000E42CE"/>
    <w:rsid w:val="000E4913"/>
    <w:rsid w:val="00111A9A"/>
    <w:rsid w:val="0011721F"/>
    <w:rsid w:val="001229F0"/>
    <w:rsid w:val="00161EB8"/>
    <w:rsid w:val="00164044"/>
    <w:rsid w:val="001656D6"/>
    <w:rsid w:val="00167796"/>
    <w:rsid w:val="001849D1"/>
    <w:rsid w:val="00185694"/>
    <w:rsid w:val="001A4DC7"/>
    <w:rsid w:val="001A5998"/>
    <w:rsid w:val="001B765A"/>
    <w:rsid w:val="001C37AC"/>
    <w:rsid w:val="001D532C"/>
    <w:rsid w:val="001D742A"/>
    <w:rsid w:val="001E4721"/>
    <w:rsid w:val="001E6588"/>
    <w:rsid w:val="00210FE2"/>
    <w:rsid w:val="00223615"/>
    <w:rsid w:val="00226592"/>
    <w:rsid w:val="00237901"/>
    <w:rsid w:val="002405EA"/>
    <w:rsid w:val="002423B4"/>
    <w:rsid w:val="00246AE0"/>
    <w:rsid w:val="00246B64"/>
    <w:rsid w:val="002554B1"/>
    <w:rsid w:val="0026029E"/>
    <w:rsid w:val="002663F4"/>
    <w:rsid w:val="00276A68"/>
    <w:rsid w:val="00285E7C"/>
    <w:rsid w:val="00293ED2"/>
    <w:rsid w:val="00293F26"/>
    <w:rsid w:val="002A21C6"/>
    <w:rsid w:val="002C328A"/>
    <w:rsid w:val="002C3569"/>
    <w:rsid w:val="002D0889"/>
    <w:rsid w:val="002D7202"/>
    <w:rsid w:val="002E2592"/>
    <w:rsid w:val="002E3714"/>
    <w:rsid w:val="00300CBA"/>
    <w:rsid w:val="0030608C"/>
    <w:rsid w:val="00315494"/>
    <w:rsid w:val="0032547B"/>
    <w:rsid w:val="003307D7"/>
    <w:rsid w:val="00331058"/>
    <w:rsid w:val="00333B72"/>
    <w:rsid w:val="003456CD"/>
    <w:rsid w:val="003636D9"/>
    <w:rsid w:val="003807BF"/>
    <w:rsid w:val="00383029"/>
    <w:rsid w:val="0039148B"/>
    <w:rsid w:val="003A02A6"/>
    <w:rsid w:val="003F56BC"/>
    <w:rsid w:val="00400E30"/>
    <w:rsid w:val="0040309B"/>
    <w:rsid w:val="0040778E"/>
    <w:rsid w:val="004246E5"/>
    <w:rsid w:val="00432DFB"/>
    <w:rsid w:val="004413E7"/>
    <w:rsid w:val="00444861"/>
    <w:rsid w:val="00445F1F"/>
    <w:rsid w:val="00446667"/>
    <w:rsid w:val="0045051B"/>
    <w:rsid w:val="00472E5A"/>
    <w:rsid w:val="004918BA"/>
    <w:rsid w:val="004947CF"/>
    <w:rsid w:val="00497CC2"/>
    <w:rsid w:val="004C0BB5"/>
    <w:rsid w:val="004C1A31"/>
    <w:rsid w:val="004D1AB2"/>
    <w:rsid w:val="004D35BA"/>
    <w:rsid w:val="004D5ED9"/>
    <w:rsid w:val="004D6C85"/>
    <w:rsid w:val="004E2D22"/>
    <w:rsid w:val="004E4E14"/>
    <w:rsid w:val="004F01BB"/>
    <w:rsid w:val="00516B7D"/>
    <w:rsid w:val="00522C74"/>
    <w:rsid w:val="005251A9"/>
    <w:rsid w:val="00525B63"/>
    <w:rsid w:val="00534985"/>
    <w:rsid w:val="00553113"/>
    <w:rsid w:val="00557A6A"/>
    <w:rsid w:val="00557FCC"/>
    <w:rsid w:val="00560B40"/>
    <w:rsid w:val="00562E70"/>
    <w:rsid w:val="005759F2"/>
    <w:rsid w:val="00576647"/>
    <w:rsid w:val="005802CD"/>
    <w:rsid w:val="00581640"/>
    <w:rsid w:val="00584A10"/>
    <w:rsid w:val="00585A1B"/>
    <w:rsid w:val="0058665C"/>
    <w:rsid w:val="005A3033"/>
    <w:rsid w:val="005B0961"/>
    <w:rsid w:val="005C5715"/>
    <w:rsid w:val="005C631A"/>
    <w:rsid w:val="005C64E7"/>
    <w:rsid w:val="005C6EAB"/>
    <w:rsid w:val="005F469F"/>
    <w:rsid w:val="00603D96"/>
    <w:rsid w:val="006136E0"/>
    <w:rsid w:val="00624AC6"/>
    <w:rsid w:val="00633679"/>
    <w:rsid w:val="00643A80"/>
    <w:rsid w:val="0064479F"/>
    <w:rsid w:val="00664B0D"/>
    <w:rsid w:val="0067246E"/>
    <w:rsid w:val="00681D2E"/>
    <w:rsid w:val="00682A48"/>
    <w:rsid w:val="00694E60"/>
    <w:rsid w:val="006950BF"/>
    <w:rsid w:val="006A0F0E"/>
    <w:rsid w:val="006A25D4"/>
    <w:rsid w:val="006A5149"/>
    <w:rsid w:val="006C64BA"/>
    <w:rsid w:val="006D46D0"/>
    <w:rsid w:val="006D49B9"/>
    <w:rsid w:val="006D6AF7"/>
    <w:rsid w:val="006E5362"/>
    <w:rsid w:val="006E6C3D"/>
    <w:rsid w:val="006F08D8"/>
    <w:rsid w:val="006F23E6"/>
    <w:rsid w:val="00703D81"/>
    <w:rsid w:val="00714BDF"/>
    <w:rsid w:val="00722E39"/>
    <w:rsid w:val="00725238"/>
    <w:rsid w:val="00737396"/>
    <w:rsid w:val="00737906"/>
    <w:rsid w:val="00741934"/>
    <w:rsid w:val="00746818"/>
    <w:rsid w:val="00757C35"/>
    <w:rsid w:val="0076099B"/>
    <w:rsid w:val="007626EE"/>
    <w:rsid w:val="00770162"/>
    <w:rsid w:val="00776891"/>
    <w:rsid w:val="0079246D"/>
    <w:rsid w:val="007945FE"/>
    <w:rsid w:val="007A00FC"/>
    <w:rsid w:val="007A076F"/>
    <w:rsid w:val="007A3866"/>
    <w:rsid w:val="007A6A88"/>
    <w:rsid w:val="007B6646"/>
    <w:rsid w:val="007C235A"/>
    <w:rsid w:val="007C3A7C"/>
    <w:rsid w:val="007D59DD"/>
    <w:rsid w:val="007D77CF"/>
    <w:rsid w:val="008028AC"/>
    <w:rsid w:val="00807DD1"/>
    <w:rsid w:val="00821D45"/>
    <w:rsid w:val="0082354C"/>
    <w:rsid w:val="008354E3"/>
    <w:rsid w:val="00850B7F"/>
    <w:rsid w:val="00851444"/>
    <w:rsid w:val="00853212"/>
    <w:rsid w:val="00866105"/>
    <w:rsid w:val="00875831"/>
    <w:rsid w:val="00876AD2"/>
    <w:rsid w:val="008858FD"/>
    <w:rsid w:val="008C28B0"/>
    <w:rsid w:val="008E3EE8"/>
    <w:rsid w:val="008E67E4"/>
    <w:rsid w:val="008F171F"/>
    <w:rsid w:val="00902F65"/>
    <w:rsid w:val="00926D7A"/>
    <w:rsid w:val="00930C50"/>
    <w:rsid w:val="009456B1"/>
    <w:rsid w:val="0095142F"/>
    <w:rsid w:val="00960E52"/>
    <w:rsid w:val="00965E44"/>
    <w:rsid w:val="00974F2C"/>
    <w:rsid w:val="00976214"/>
    <w:rsid w:val="00980C9B"/>
    <w:rsid w:val="009824E2"/>
    <w:rsid w:val="009919D3"/>
    <w:rsid w:val="009A1BF2"/>
    <w:rsid w:val="009A53D2"/>
    <w:rsid w:val="009A7FD8"/>
    <w:rsid w:val="009B1A01"/>
    <w:rsid w:val="009C0084"/>
    <w:rsid w:val="009C2997"/>
    <w:rsid w:val="009C4A08"/>
    <w:rsid w:val="009D2B33"/>
    <w:rsid w:val="009E1565"/>
    <w:rsid w:val="009E573B"/>
    <w:rsid w:val="009F66FE"/>
    <w:rsid w:val="00A0587B"/>
    <w:rsid w:val="00A20E93"/>
    <w:rsid w:val="00A21C59"/>
    <w:rsid w:val="00A22841"/>
    <w:rsid w:val="00A279A1"/>
    <w:rsid w:val="00A327E6"/>
    <w:rsid w:val="00A32C21"/>
    <w:rsid w:val="00A40CC5"/>
    <w:rsid w:val="00A43D2C"/>
    <w:rsid w:val="00A4512B"/>
    <w:rsid w:val="00A5115D"/>
    <w:rsid w:val="00A515AB"/>
    <w:rsid w:val="00A60123"/>
    <w:rsid w:val="00A71D05"/>
    <w:rsid w:val="00A80B07"/>
    <w:rsid w:val="00A85C0F"/>
    <w:rsid w:val="00A90721"/>
    <w:rsid w:val="00A94233"/>
    <w:rsid w:val="00AA549B"/>
    <w:rsid w:val="00AA5608"/>
    <w:rsid w:val="00AB79A4"/>
    <w:rsid w:val="00AB79BF"/>
    <w:rsid w:val="00AD187A"/>
    <w:rsid w:val="00AE6065"/>
    <w:rsid w:val="00B06F9F"/>
    <w:rsid w:val="00B12949"/>
    <w:rsid w:val="00B13E94"/>
    <w:rsid w:val="00B213D9"/>
    <w:rsid w:val="00B456B3"/>
    <w:rsid w:val="00B46B59"/>
    <w:rsid w:val="00B51CBC"/>
    <w:rsid w:val="00B7413F"/>
    <w:rsid w:val="00B82D99"/>
    <w:rsid w:val="00B83F56"/>
    <w:rsid w:val="00B90C61"/>
    <w:rsid w:val="00B950DC"/>
    <w:rsid w:val="00B97EF2"/>
    <w:rsid w:val="00BA40AD"/>
    <w:rsid w:val="00BA7ACD"/>
    <w:rsid w:val="00BB1ACB"/>
    <w:rsid w:val="00BB21D3"/>
    <w:rsid w:val="00BD1AEC"/>
    <w:rsid w:val="00BD682A"/>
    <w:rsid w:val="00BE28EB"/>
    <w:rsid w:val="00BE3478"/>
    <w:rsid w:val="00BE6757"/>
    <w:rsid w:val="00BF5D87"/>
    <w:rsid w:val="00C03CAD"/>
    <w:rsid w:val="00C07678"/>
    <w:rsid w:val="00C23080"/>
    <w:rsid w:val="00C263DA"/>
    <w:rsid w:val="00C26DCD"/>
    <w:rsid w:val="00C325C5"/>
    <w:rsid w:val="00C3289C"/>
    <w:rsid w:val="00C36661"/>
    <w:rsid w:val="00C56D29"/>
    <w:rsid w:val="00C673D4"/>
    <w:rsid w:val="00C769DE"/>
    <w:rsid w:val="00C83A34"/>
    <w:rsid w:val="00C90089"/>
    <w:rsid w:val="00C92A44"/>
    <w:rsid w:val="00C95ACC"/>
    <w:rsid w:val="00C97D46"/>
    <w:rsid w:val="00CA4C5B"/>
    <w:rsid w:val="00CB5E92"/>
    <w:rsid w:val="00CB7EB8"/>
    <w:rsid w:val="00CD3175"/>
    <w:rsid w:val="00CD45D5"/>
    <w:rsid w:val="00CD5648"/>
    <w:rsid w:val="00CD5EA1"/>
    <w:rsid w:val="00D1775E"/>
    <w:rsid w:val="00D232E2"/>
    <w:rsid w:val="00D27D07"/>
    <w:rsid w:val="00D3250A"/>
    <w:rsid w:val="00D40768"/>
    <w:rsid w:val="00D645FE"/>
    <w:rsid w:val="00D671CF"/>
    <w:rsid w:val="00D76967"/>
    <w:rsid w:val="00D93E63"/>
    <w:rsid w:val="00DA12A0"/>
    <w:rsid w:val="00DB173C"/>
    <w:rsid w:val="00DB4015"/>
    <w:rsid w:val="00DB6145"/>
    <w:rsid w:val="00DB735B"/>
    <w:rsid w:val="00DC00AD"/>
    <w:rsid w:val="00DC1460"/>
    <w:rsid w:val="00DC236B"/>
    <w:rsid w:val="00DE1583"/>
    <w:rsid w:val="00DE20D5"/>
    <w:rsid w:val="00DE4354"/>
    <w:rsid w:val="00DE72EE"/>
    <w:rsid w:val="00DE7986"/>
    <w:rsid w:val="00DF2436"/>
    <w:rsid w:val="00E17393"/>
    <w:rsid w:val="00E44BC0"/>
    <w:rsid w:val="00E62A31"/>
    <w:rsid w:val="00E62FAC"/>
    <w:rsid w:val="00E717C7"/>
    <w:rsid w:val="00E8224F"/>
    <w:rsid w:val="00E85EE0"/>
    <w:rsid w:val="00E9141C"/>
    <w:rsid w:val="00E9203B"/>
    <w:rsid w:val="00E93BBF"/>
    <w:rsid w:val="00E94876"/>
    <w:rsid w:val="00EB4D05"/>
    <w:rsid w:val="00EB63DD"/>
    <w:rsid w:val="00EC569E"/>
    <w:rsid w:val="00ED7445"/>
    <w:rsid w:val="00EF10D1"/>
    <w:rsid w:val="00F11D02"/>
    <w:rsid w:val="00F17E78"/>
    <w:rsid w:val="00F226BF"/>
    <w:rsid w:val="00F22B2F"/>
    <w:rsid w:val="00F24681"/>
    <w:rsid w:val="00F26B25"/>
    <w:rsid w:val="00F30120"/>
    <w:rsid w:val="00F31FEC"/>
    <w:rsid w:val="00F37C66"/>
    <w:rsid w:val="00F40C15"/>
    <w:rsid w:val="00F44016"/>
    <w:rsid w:val="00F47986"/>
    <w:rsid w:val="00F50697"/>
    <w:rsid w:val="00F50B07"/>
    <w:rsid w:val="00F536F7"/>
    <w:rsid w:val="00F70ADF"/>
    <w:rsid w:val="00F732A7"/>
    <w:rsid w:val="00F81016"/>
    <w:rsid w:val="00F8433F"/>
    <w:rsid w:val="00FA2304"/>
    <w:rsid w:val="00FA526E"/>
    <w:rsid w:val="00FB14D5"/>
    <w:rsid w:val="00FB2BC3"/>
    <w:rsid w:val="00FB5C40"/>
    <w:rsid w:val="00FC4937"/>
    <w:rsid w:val="00FC6C58"/>
    <w:rsid w:val="00FD5AE5"/>
    <w:rsid w:val="00FE79EA"/>
    <w:rsid w:val="00FF00C9"/>
    <w:rsid w:val="00FF68D0"/>
    <w:rsid w:val="00FF72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13949"/>
  <w15:docId w15:val="{DC0609D7-43D6-4813-9CD7-2DA19E0A6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41C"/>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D5AE5"/>
    <w:rPr>
      <w:strike w:val="0"/>
      <w:dstrike w:val="0"/>
      <w:color w:val="000000"/>
      <w:u w:val="none"/>
      <w:effect w:val="none"/>
    </w:rPr>
  </w:style>
  <w:style w:type="paragraph" w:styleId="Header">
    <w:name w:val="header"/>
    <w:aliases w:val="Header Char1,Header Char Char"/>
    <w:basedOn w:val="Normal"/>
    <w:link w:val="HeaderChar"/>
    <w:rsid w:val="00FD5AE5"/>
    <w:pPr>
      <w:tabs>
        <w:tab w:val="center" w:pos="4320"/>
        <w:tab w:val="right" w:pos="8640"/>
      </w:tabs>
    </w:pPr>
  </w:style>
  <w:style w:type="character" w:customStyle="1" w:styleId="HeaderChar">
    <w:name w:val="Header Char"/>
    <w:aliases w:val="Header Char1 Char,Header Char Char Char"/>
    <w:basedOn w:val="DefaultParagraphFont"/>
    <w:link w:val="Header"/>
    <w:rsid w:val="00FD5AE5"/>
    <w:rPr>
      <w:rFonts w:ascii="Times New Roman" w:eastAsia="Times New Roman" w:hAnsi="Times New Roman" w:cs="Times New Roman"/>
      <w:sz w:val="24"/>
      <w:szCs w:val="24"/>
      <w:lang w:val="en-GB"/>
    </w:rPr>
  </w:style>
  <w:style w:type="character" w:styleId="PageNumber">
    <w:name w:val="page number"/>
    <w:basedOn w:val="DefaultParagraphFont"/>
    <w:rsid w:val="00FD5AE5"/>
  </w:style>
  <w:style w:type="table" w:styleId="TableGrid">
    <w:name w:val="Table Grid"/>
    <w:basedOn w:val="TableNormal"/>
    <w:uiPriority w:val="59"/>
    <w:rsid w:val="00164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2B33"/>
    <w:rPr>
      <w:rFonts w:ascii="Tahoma" w:hAnsi="Tahoma" w:cs="Tahoma"/>
      <w:sz w:val="16"/>
      <w:szCs w:val="16"/>
    </w:rPr>
  </w:style>
  <w:style w:type="character" w:customStyle="1" w:styleId="BalloonTextChar">
    <w:name w:val="Balloon Text Char"/>
    <w:basedOn w:val="DefaultParagraphFont"/>
    <w:link w:val="BalloonText"/>
    <w:uiPriority w:val="99"/>
    <w:semiHidden/>
    <w:rsid w:val="009D2B33"/>
    <w:rPr>
      <w:rFonts w:ascii="Tahoma" w:eastAsia="Times New Roman" w:hAnsi="Tahoma" w:cs="Tahoma"/>
      <w:sz w:val="16"/>
      <w:szCs w:val="16"/>
      <w:lang w:val="en-GB"/>
    </w:rPr>
  </w:style>
  <w:style w:type="paragraph" w:styleId="ListParagraph">
    <w:name w:val="List Paragraph"/>
    <w:basedOn w:val="Normal"/>
    <w:uiPriority w:val="34"/>
    <w:qFormat/>
    <w:rsid w:val="00A40CC5"/>
    <w:pPr>
      <w:ind w:left="720"/>
      <w:contextualSpacing/>
    </w:pPr>
  </w:style>
  <w:style w:type="paragraph" w:customStyle="1" w:styleId="naisf">
    <w:name w:val="naisf"/>
    <w:basedOn w:val="Normal"/>
    <w:rsid w:val="00D93E63"/>
    <w:pPr>
      <w:spacing w:before="100" w:after="100"/>
      <w:jc w:val="both"/>
    </w:pPr>
    <w:rPr>
      <w:szCs w:val="20"/>
    </w:rPr>
  </w:style>
  <w:style w:type="paragraph" w:styleId="Footer">
    <w:name w:val="footer"/>
    <w:basedOn w:val="Normal"/>
    <w:link w:val="FooterChar"/>
    <w:uiPriority w:val="99"/>
    <w:unhideWhenUsed/>
    <w:rsid w:val="006F23E6"/>
    <w:pPr>
      <w:tabs>
        <w:tab w:val="center" w:pos="4153"/>
        <w:tab w:val="right" w:pos="8306"/>
      </w:tabs>
    </w:pPr>
  </w:style>
  <w:style w:type="character" w:customStyle="1" w:styleId="FooterChar">
    <w:name w:val="Footer Char"/>
    <w:basedOn w:val="DefaultParagraphFont"/>
    <w:link w:val="Footer"/>
    <w:uiPriority w:val="99"/>
    <w:rsid w:val="006F23E6"/>
    <w:rPr>
      <w:rFonts w:ascii="Times New Roman" w:eastAsia="Times New Roman" w:hAnsi="Times New Roman" w:cs="Times New Roman"/>
      <w:sz w:val="24"/>
      <w:szCs w:val="24"/>
      <w:lang w:val="en-GB"/>
    </w:rPr>
  </w:style>
  <w:style w:type="paragraph" w:styleId="NoSpacing">
    <w:name w:val="No Spacing"/>
    <w:uiPriority w:val="1"/>
    <w:qFormat/>
    <w:rsid w:val="0040309B"/>
    <w:pPr>
      <w:spacing w:after="0" w:line="240" w:lineRule="auto"/>
    </w:pPr>
    <w:rPr>
      <w:rFonts w:ascii="Times New Roman" w:eastAsia="Times New Roman" w:hAnsi="Times New Roman" w:cs="Times New Roman"/>
      <w:sz w:val="20"/>
      <w:szCs w:val="20"/>
    </w:rPr>
  </w:style>
  <w:style w:type="paragraph" w:customStyle="1" w:styleId="MediumGrid21">
    <w:name w:val="Medium Grid 21"/>
    <w:uiPriority w:val="1"/>
    <w:qFormat/>
    <w:rsid w:val="00E717C7"/>
    <w:pPr>
      <w:spacing w:after="0" w:line="240" w:lineRule="auto"/>
      <w:jc w:val="both"/>
    </w:pPr>
    <w:rPr>
      <w:rFonts w:ascii="Times New Roman" w:eastAsia="Times New Roman" w:hAnsi="Times New Roman" w:cs="Times New Roman"/>
      <w:sz w:val="24"/>
      <w:szCs w:val="20"/>
      <w:lang w:val="en-GB" w:eastAsia="lv-LV"/>
    </w:rPr>
  </w:style>
  <w:style w:type="paragraph" w:styleId="BodyText">
    <w:name w:val="Body Text"/>
    <w:basedOn w:val="Normal"/>
    <w:link w:val="BodyTextChar"/>
    <w:rsid w:val="00E9203B"/>
    <w:pPr>
      <w:tabs>
        <w:tab w:val="left" w:pos="3402"/>
      </w:tabs>
      <w:jc w:val="both"/>
    </w:pPr>
    <w:rPr>
      <w:szCs w:val="20"/>
      <w:lang w:val="lv-LV"/>
    </w:rPr>
  </w:style>
  <w:style w:type="character" w:customStyle="1" w:styleId="BodyTextChar">
    <w:name w:val="Body Text Char"/>
    <w:basedOn w:val="DefaultParagraphFont"/>
    <w:link w:val="BodyText"/>
    <w:rsid w:val="00E9203B"/>
    <w:rPr>
      <w:rFonts w:ascii="Times New Roman" w:eastAsia="Times New Roman" w:hAnsi="Times New Roman" w:cs="Times New Roman"/>
      <w:sz w:val="24"/>
      <w:szCs w:val="20"/>
    </w:rPr>
  </w:style>
  <w:style w:type="table" w:customStyle="1" w:styleId="TableGrid1">
    <w:name w:val="Table Grid1"/>
    <w:basedOn w:val="TableNormal"/>
    <w:next w:val="TableGrid"/>
    <w:uiPriority w:val="59"/>
    <w:rsid w:val="007A00FC"/>
    <w:pPr>
      <w:spacing w:after="0" w:line="240" w:lineRule="auto"/>
    </w:pPr>
    <w:rPr>
      <w:rFonts w:ascii="Calibri" w:eastAsia="Times New Roman" w:hAnsi="Calibri" w:cs="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s.gov.lv/EKEIS/Suppli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B3303-43AE-4C79-8032-C9E8D5458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4305</Words>
  <Characters>2455</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Juta Nariškina</dc:creator>
  <cp:lastModifiedBy>Zane Linaberga-Dzerkale</cp:lastModifiedBy>
  <cp:revision>27</cp:revision>
  <cp:lastPrinted>2018-08-24T06:14:00Z</cp:lastPrinted>
  <dcterms:created xsi:type="dcterms:W3CDTF">2018-08-23T13:02:00Z</dcterms:created>
  <dcterms:modified xsi:type="dcterms:W3CDTF">2018-08-24T09:54:00Z</dcterms:modified>
</cp:coreProperties>
</file>